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Times New Roman" w:hAnsi="Times New Roman" w:eastAsia="黑体"/>
        </w:rPr>
        <w:sectPr>
          <w:headerReference r:id="rId5" w:type="default"/>
          <w:footerReference r:id="rId7" w:type="default"/>
          <w:headerReference r:id="rId6" w:type="even"/>
          <w:footerReference r:id="rId8" w:type="even"/>
          <w:pgSz w:w="11906" w:h="16838"/>
          <w:pgMar w:top="567" w:right="1418" w:bottom="1134" w:left="1418" w:header="1418" w:footer="992" w:gutter="0"/>
          <w:cols w:space="425" w:num="1"/>
          <w:titlePg/>
          <w:docGrid w:type="lines" w:linePitch="312" w:charSpace="0"/>
        </w:sectPr>
      </w:pPr>
      <w:r>
        <w:rPr>
          <w:rFonts w:ascii="Times New Roman" w:hAnsi="Times New Roman" w:eastAsia="黑体"/>
        </w:rPr>
        <mc:AlternateContent>
          <mc:Choice Requires="wpg">
            <w:drawing>
              <wp:anchor distT="0" distB="0" distL="114300" distR="114300" simplePos="0" relativeHeight="251660288" behindDoc="0" locked="0" layoutInCell="1" allowOverlap="1">
                <wp:simplePos x="0" y="0"/>
                <wp:positionH relativeFrom="column">
                  <wp:posOffset>1905</wp:posOffset>
                </wp:positionH>
                <wp:positionV relativeFrom="paragraph">
                  <wp:posOffset>12700</wp:posOffset>
                </wp:positionV>
                <wp:extent cx="5819775" cy="9547860"/>
                <wp:effectExtent l="0" t="0" r="9525" b="0"/>
                <wp:wrapSquare wrapText="bothSides"/>
                <wp:docPr id="7" name="组合 7"/>
                <wp:cNvGraphicFramePr/>
                <a:graphic xmlns:a="http://schemas.openxmlformats.org/drawingml/2006/main">
                  <a:graphicData uri="http://schemas.microsoft.com/office/word/2010/wordprocessingGroup">
                    <wpg:wgp>
                      <wpg:cNvGrpSpPr/>
                      <wpg:grpSpPr>
                        <a:xfrm>
                          <a:off x="0" y="0"/>
                          <a:ext cx="5819775" cy="9547861"/>
                          <a:chOff x="0" y="0"/>
                          <a:chExt cx="5820195" cy="9548393"/>
                        </a:xfrm>
                      </wpg:grpSpPr>
                      <wps:wsp>
                        <wps:cNvPr id="217" name="文本框 2"/>
                        <wps:cNvSpPr txBox="1">
                          <a:spLocks noChangeArrowheads="1"/>
                        </wps:cNvSpPr>
                        <wps:spPr bwMode="auto">
                          <a:xfrm>
                            <a:off x="0" y="0"/>
                            <a:ext cx="2360715" cy="497193"/>
                          </a:xfrm>
                          <a:prstGeom prst="rect">
                            <a:avLst/>
                          </a:prstGeom>
                          <a:noFill/>
                          <a:ln w="9525">
                            <a:noFill/>
                            <a:miter lim="800000"/>
                          </a:ln>
                        </wps:spPr>
                        <wps:txbx>
                          <w:txbxContent>
                            <w:p>
                              <w:pPr>
                                <w:spacing w:line="240" w:lineRule="auto"/>
                                <w:outlineLvl w:val="0"/>
                                <w:rPr>
                                  <w:rFonts w:ascii="黑体" w:hAnsi="Times New Roman" w:eastAsia="黑体"/>
                                </w:rPr>
                              </w:pPr>
                              <w:r>
                                <w:rPr>
                                  <w:rFonts w:ascii="黑体" w:hAnsi="Times New Roman" w:eastAsia="黑体"/>
                                </w:rPr>
                                <w:t>ICS</w:t>
                              </w:r>
                              <w:r>
                                <w:rPr>
                                  <w:rFonts w:hint="eastAsia" w:ascii="黑体" w:hAnsi="Times New Roman" w:eastAsia="黑体" w:cs="Times New Roman"/>
                                  <w:spacing w:val="10"/>
                                </w:rPr>
                                <w:t xml:space="preserve"> 45.060.20</w:t>
                              </w:r>
                            </w:p>
                            <w:p>
                              <w:pPr>
                                <w:spacing w:line="240" w:lineRule="auto"/>
                                <w:rPr>
                                  <w:rFonts w:ascii="黑体" w:hAnsi="Times New Roman" w:eastAsia="黑体"/>
                                </w:rPr>
                              </w:pPr>
                              <w:r>
                                <w:rPr>
                                  <w:rFonts w:hint="eastAsia" w:ascii="黑体" w:hAnsi="Times New Roman" w:eastAsia="黑体" w:cs="Times New Roman"/>
                                </w:rPr>
                                <w:t>CCS</w:t>
                              </w:r>
                              <w:r>
                                <w:rPr>
                                  <w:rFonts w:ascii="黑体" w:hAnsi="Times New Roman" w:eastAsia="黑体" w:cs="Times New Roman"/>
                                </w:rPr>
                                <w:t xml:space="preserve"> </w:t>
                              </w:r>
                              <w:r>
                                <w:rPr>
                                  <w:rFonts w:hint="eastAsia" w:ascii="黑体" w:hAnsi="Times New Roman" w:eastAsia="黑体" w:cs="Times New Roman"/>
                                </w:rPr>
                                <w:t>S 50</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ln>
                        </wps:spPr>
                        <wps:txbx>
                          <w:txbxContent>
                            <w:p>
                              <w:pPr>
                                <w:spacing w:line="240" w:lineRule="auto"/>
                                <w:jc w:val="distribute"/>
                                <w:rPr>
                                  <w:rFonts w:ascii="黑体" w:hAnsi="黑体" w:eastAsia="黑体"/>
                                  <w:sz w:val="84"/>
                                  <w:szCs w:val="84"/>
                                </w:rPr>
                              </w:pPr>
                              <w:r>
                                <w:rPr>
                                  <w:rFonts w:hint="eastAsia" w:ascii="黑体" w:hAnsi="黑体" w:eastAsia="黑体"/>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72" y="1643356"/>
                            <a:ext cx="3027823" cy="672501"/>
                          </a:xfrm>
                          <a:prstGeom prst="rect">
                            <a:avLst/>
                          </a:prstGeom>
                          <a:noFill/>
                          <a:ln w="9525">
                            <a:noFill/>
                            <a:miter lim="800000"/>
                          </a:ln>
                        </wps:spPr>
                        <wps:txbx>
                          <w:txbxContent>
                            <w:p>
                              <w:pPr>
                                <w:spacing w:line="300" w:lineRule="exact"/>
                                <w:jc w:val="right"/>
                                <w:rPr>
                                  <w:rFonts w:ascii="黑体" w:hAnsi="Times New Roman" w:eastAsia="黑体" w:cs="Times New Roman"/>
                                  <w:sz w:val="28"/>
                                </w:rPr>
                              </w:pPr>
                            </w:p>
                            <w:p>
                              <w:pPr>
                                <w:spacing w:line="300" w:lineRule="exact"/>
                                <w:jc w:val="right"/>
                                <w:rPr>
                                  <w:rFonts w:hint="default" w:ascii="黑体" w:hAnsi="Times New Roman" w:eastAsia="黑体" w:cs="Times New Roman"/>
                                  <w:spacing w:val="10"/>
                                  <w:sz w:val="28"/>
                                  <w:lang w:val="en-US" w:eastAsia="zh-CN"/>
                                </w:rPr>
                              </w:pPr>
                              <w:r>
                                <w:rPr>
                                  <w:rFonts w:hint="eastAsia" w:ascii="黑体" w:hAnsi="Times New Roman" w:eastAsia="黑体" w:cs="Times New Roman"/>
                                  <w:sz w:val="28"/>
                                </w:rPr>
                                <w:t>T/CMES</w:t>
                              </w:r>
                              <w:r>
                                <w:rPr>
                                  <w:rFonts w:hint="eastAsia" w:ascii="黑体" w:hAnsi="Times New Roman" w:eastAsia="黑体"/>
                                  <w:sz w:val="28"/>
                                </w:rPr>
                                <w:t xml:space="preserve"> </w:t>
                              </w:r>
                              <w:r>
                                <w:rPr>
                                  <w:rFonts w:ascii="黑体" w:hAnsi="Times New Roman" w:eastAsia="黑体" w:cs="Times New Roman"/>
                                  <w:spacing w:val="10"/>
                                  <w:sz w:val="28"/>
                                </w:rPr>
                                <w:t>XXXX</w:t>
                              </w:r>
                              <w:r>
                                <w:rPr>
                                  <w:rFonts w:hint="eastAsia" w:ascii="黑体" w:hAnsi="Times New Roman" w:eastAsia="黑体" w:cs="Times New Roman"/>
                                  <w:spacing w:val="10"/>
                                  <w:sz w:val="28"/>
                                </w:rPr>
                                <w:t>—20</w:t>
                              </w:r>
                              <w:r>
                                <w:rPr>
                                  <w:rFonts w:hint="eastAsia" w:ascii="黑体" w:hAnsi="Times New Roman" w:eastAsia="黑体" w:cs="Times New Roman"/>
                                  <w:spacing w:val="10"/>
                                  <w:sz w:val="28"/>
                                  <w:lang w:val="en-US" w:eastAsia="zh-CN"/>
                                </w:rPr>
                                <w:t>XX</w:t>
                              </w:r>
                            </w:p>
                            <w:p>
                              <w:pPr>
                                <w:spacing w:line="300" w:lineRule="exact"/>
                                <w:jc w:val="right"/>
                                <w:rPr>
                                  <w:rFonts w:ascii="黑体" w:hAnsi="Times New Roman" w:eastAsia="黑体"/>
                                </w:rPr>
                              </w:pP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pPr>
                                <w:spacing w:before="156" w:beforeLines="50" w:after="156" w:afterLines="50" w:line="240" w:lineRule="auto"/>
                                <w:jc w:val="center"/>
                                <w:rPr>
                                  <w:rFonts w:ascii="Times New Roman" w:hAnsi="Times New Roman" w:eastAsia="黑体"/>
                                  <w:sz w:val="48"/>
                                  <w:szCs w:val="48"/>
                                </w:rPr>
                              </w:pPr>
                            </w:p>
                            <w:p>
                              <w:pPr>
                                <w:spacing w:before="156" w:beforeLines="50" w:after="156" w:afterLines="50" w:line="240" w:lineRule="auto"/>
                                <w:jc w:val="center"/>
                                <w:rPr>
                                  <w:rFonts w:ascii="Times New Roman" w:hAnsi="Times New Roman" w:eastAsia="黑体"/>
                                  <w:sz w:val="48"/>
                                  <w:szCs w:val="48"/>
                                </w:rPr>
                              </w:pPr>
                              <w:r>
                                <w:rPr>
                                  <w:rFonts w:hint="eastAsia" w:ascii="Times New Roman" w:hAnsi="Times New Roman" w:eastAsia="黑体"/>
                                  <w:sz w:val="48"/>
                                  <w:szCs w:val="48"/>
                                </w:rPr>
                                <w:t>轨道交通装备轴类件修复工艺规范</w:t>
                              </w:r>
                            </w:p>
                            <w:p>
                              <w:pPr>
                                <w:jc w:val="center"/>
                                <w:rPr>
                                  <w:rFonts w:hint="eastAsia" w:ascii="Times New Roman" w:hAnsi="Times New Roman" w:eastAsia="黑体"/>
                                  <w:sz w:val="36"/>
                                </w:rPr>
                              </w:pPr>
                              <w:r>
                                <w:rPr>
                                  <w:rFonts w:hint="eastAsia" w:ascii="Times New Roman" w:hAnsi="Times New Roman" w:eastAsia="黑体"/>
                                  <w:sz w:val="36"/>
                                </w:rPr>
                                <w:t>Restoration process specifications for axle components of rolling stock</w:t>
                              </w:r>
                            </w:p>
                            <w:p>
                              <w:pPr>
                                <w:jc w:val="center"/>
                                <w:rPr>
                                  <w:rFonts w:ascii="Times New Roman" w:hAnsi="Times New Roman" w:eastAsia="黑体"/>
                                  <w:sz w:val="32"/>
                                  <w:szCs w:val="32"/>
                                </w:rPr>
                              </w:pPr>
                              <w:r>
                                <w:rPr>
                                  <w:rFonts w:hint="eastAsia" w:ascii="Times New Roman" w:hAnsi="Times New Roman" w:eastAsia="黑体"/>
                                  <w:sz w:val="32"/>
                                  <w:szCs w:val="32"/>
                                </w:rPr>
                                <w:t>(征求意见稿</w:t>
                              </w:r>
                              <w:r>
                                <w:rPr>
                                  <w:rFonts w:ascii="Times New Roman" w:hAnsi="Times New Roman" w:eastAsia="黑体"/>
                                  <w:sz w:val="32"/>
                                  <w:szCs w:val="32"/>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145" cy="353695"/>
                          </a:xfrm>
                          <a:prstGeom prst="rect">
                            <a:avLst/>
                          </a:prstGeom>
                          <a:noFill/>
                          <a:ln w="9525">
                            <a:noFill/>
                            <a:miter lim="800000"/>
                          </a:ln>
                        </wps:spPr>
                        <wps:txbx>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145" cy="353695"/>
                          </a:xfrm>
                          <a:prstGeom prst="rect">
                            <a:avLst/>
                          </a:prstGeom>
                          <a:noFill/>
                          <a:ln w="9525">
                            <a:noFill/>
                            <a:miter lim="800000"/>
                          </a:ln>
                        </wps:spPr>
                        <wps:txbx>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09"/>
                            <a:ext cx="2303310" cy="354984"/>
                          </a:xfrm>
                          <a:prstGeom prst="rect">
                            <a:avLst/>
                          </a:prstGeom>
                          <a:noFill/>
                          <a:ln w="9525">
                            <a:noFill/>
                            <a:miter lim="800000"/>
                          </a:ln>
                        </wps:spPr>
                        <wps:txbx>
                          <w:txbxContent>
                            <w:p>
                              <w:pPr>
                                <w:jc w:val="center"/>
                                <w:rPr>
                                  <w:rFonts w:ascii="Times New Roman" w:hAnsi="Times New Roman" w:eastAsia="黑体"/>
                                  <w:sz w:val="30"/>
                                </w:rPr>
                              </w:pPr>
                              <w:r>
                                <w:rPr>
                                  <w:rFonts w:hint="eastAsia" w:ascii="Times New Roman" w:hAnsi="Times New Roman" w:eastAsia="黑体"/>
                                  <w:sz w:val="30"/>
                                  <w:szCs w:val="30"/>
                                </w:rPr>
                                <w:t>中国机械工程学会 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15pt;margin-top:1pt;height:751.8pt;width:458.25pt;mso-wrap-distance-bottom:0pt;mso-wrap-distance-left:9pt;mso-wrap-distance-right:9pt;mso-wrap-distance-top:0pt;z-index:251660288;mso-width-relative:page;mso-height-relative:page;" coordsize="5820195,9548393" o:gfxdata="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">
                <o:lock v:ext="edit" aspectratio="f"/>
                <v:shape id="文本框 2" o:spid="_x0000_s1026" o:spt="202" type="#_x0000_t202" style="position:absolute;left:0;top:0;height:497193;width:236071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pacing w:line="240" w:lineRule="auto"/>
                          <w:outlineLvl w:val="0"/>
                          <w:rPr>
                            <w:rFonts w:ascii="黑体" w:hAnsi="Times New Roman" w:eastAsia="黑体"/>
                          </w:rPr>
                        </w:pPr>
                        <w:r>
                          <w:rPr>
                            <w:rFonts w:ascii="黑体" w:hAnsi="Times New Roman" w:eastAsia="黑体"/>
                          </w:rPr>
                          <w:t>ICS</w:t>
                        </w:r>
                        <w:r>
                          <w:rPr>
                            <w:rFonts w:hint="eastAsia" w:ascii="黑体" w:hAnsi="Times New Roman" w:eastAsia="黑体" w:cs="Times New Roman"/>
                            <w:spacing w:val="10"/>
                          </w:rPr>
                          <w:t xml:space="preserve"> 45.060.20</w:t>
                        </w:r>
                      </w:p>
                      <w:p>
                        <w:pPr>
                          <w:spacing w:line="240" w:lineRule="auto"/>
                          <w:rPr>
                            <w:rFonts w:ascii="黑体" w:hAnsi="Times New Roman" w:eastAsia="黑体"/>
                          </w:rPr>
                        </w:pPr>
                        <w:r>
                          <w:rPr>
                            <w:rFonts w:hint="eastAsia" w:ascii="黑体" w:hAnsi="Times New Roman" w:eastAsia="黑体" w:cs="Times New Roman"/>
                          </w:rPr>
                          <w:t>CCS</w:t>
                        </w:r>
                        <w:r>
                          <w:rPr>
                            <w:rFonts w:ascii="黑体" w:hAnsi="Times New Roman" w:eastAsia="黑体" w:cs="Times New Roman"/>
                          </w:rPr>
                          <w:t xml:space="preserve"> </w:t>
                        </w:r>
                        <w:r>
                          <w:rPr>
                            <w:rFonts w:hint="eastAsia" w:ascii="黑体" w:hAnsi="Times New Roman" w:eastAsia="黑体" w:cs="Times New Roman"/>
                          </w:rPr>
                          <w:t>S 50</w:t>
                        </w:r>
                      </w:p>
                    </w:txbxContent>
                  </v:textbox>
                </v:shape>
                <v:shape id="文本框 2" o:spid="_x0000_s1026" o:spt="202" type="#_x0000_t202" style="position:absolute;left:12357;top:840259;height:892810;width:5734050;v-text-anchor:middle;" filled="f" stroked="f" coordsize="21600,21600" o:gfxdata="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f2E7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style="mso-fit-shape-to-text:t;">
                    <w:txbxContent>
                      <w:p>
                        <w:pPr>
                          <w:spacing w:line="240" w:lineRule="auto"/>
                          <w:jc w:val="distribute"/>
                          <w:rPr>
                            <w:rFonts w:ascii="黑体" w:hAnsi="黑体" w:eastAsia="黑体"/>
                            <w:sz w:val="84"/>
                            <w:szCs w:val="84"/>
                          </w:rPr>
                        </w:pPr>
                        <w:r>
                          <w:rPr>
                            <w:rFonts w:hint="eastAsia" w:ascii="黑体" w:hAnsi="黑体" w:eastAsia="黑体"/>
                            <w:sz w:val="84"/>
                            <w:szCs w:val="84"/>
                          </w:rPr>
                          <w:t>团体标准</w:t>
                        </w:r>
                      </w:p>
                    </w:txbxContent>
                  </v:textbox>
                </v:shape>
                <v:shape id="文本框 2" o:spid="_x0000_s1026" o:spt="202" type="#_x0000_t202" style="position:absolute;left:2792372;top:1643356;height:672501;width:3027823;v-text-anchor:middle;" filled="f" stroked="f" coordsize="21600,21600" o:gfxdata="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tTiL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style="mso-fit-shape-to-text:t;">
                    <w:txbxContent>
                      <w:p>
                        <w:pPr>
                          <w:spacing w:line="300" w:lineRule="exact"/>
                          <w:jc w:val="right"/>
                          <w:rPr>
                            <w:rFonts w:ascii="黑体" w:hAnsi="Times New Roman" w:eastAsia="黑体" w:cs="Times New Roman"/>
                            <w:sz w:val="28"/>
                          </w:rPr>
                        </w:pPr>
                      </w:p>
                      <w:p>
                        <w:pPr>
                          <w:spacing w:line="300" w:lineRule="exact"/>
                          <w:jc w:val="right"/>
                          <w:rPr>
                            <w:rFonts w:hint="default" w:ascii="黑体" w:hAnsi="Times New Roman" w:eastAsia="黑体" w:cs="Times New Roman"/>
                            <w:spacing w:val="10"/>
                            <w:sz w:val="28"/>
                            <w:lang w:val="en-US" w:eastAsia="zh-CN"/>
                          </w:rPr>
                        </w:pPr>
                        <w:r>
                          <w:rPr>
                            <w:rFonts w:hint="eastAsia" w:ascii="黑体" w:hAnsi="Times New Roman" w:eastAsia="黑体" w:cs="Times New Roman"/>
                            <w:sz w:val="28"/>
                          </w:rPr>
                          <w:t>T/CMES</w:t>
                        </w:r>
                        <w:r>
                          <w:rPr>
                            <w:rFonts w:hint="eastAsia" w:ascii="黑体" w:hAnsi="Times New Roman" w:eastAsia="黑体"/>
                            <w:sz w:val="28"/>
                          </w:rPr>
                          <w:t xml:space="preserve"> </w:t>
                        </w:r>
                        <w:r>
                          <w:rPr>
                            <w:rFonts w:ascii="黑体" w:hAnsi="Times New Roman" w:eastAsia="黑体" w:cs="Times New Roman"/>
                            <w:spacing w:val="10"/>
                            <w:sz w:val="28"/>
                          </w:rPr>
                          <w:t>XXXX</w:t>
                        </w:r>
                        <w:r>
                          <w:rPr>
                            <w:rFonts w:hint="eastAsia" w:ascii="黑体" w:hAnsi="Times New Roman" w:eastAsia="黑体" w:cs="Times New Roman"/>
                            <w:spacing w:val="10"/>
                            <w:sz w:val="28"/>
                          </w:rPr>
                          <w:t>—20</w:t>
                        </w:r>
                        <w:r>
                          <w:rPr>
                            <w:rFonts w:hint="eastAsia" w:ascii="黑体" w:hAnsi="Times New Roman" w:eastAsia="黑体" w:cs="Times New Roman"/>
                            <w:spacing w:val="10"/>
                            <w:sz w:val="28"/>
                            <w:lang w:val="en-US" w:eastAsia="zh-CN"/>
                          </w:rPr>
                          <w:t>XX</w:t>
                        </w:r>
                      </w:p>
                      <w:p>
                        <w:pPr>
                          <w:spacing w:line="300" w:lineRule="exact"/>
                          <w:jc w:val="right"/>
                          <w:rPr>
                            <w:rFonts w:ascii="黑体" w:hAnsi="Times New Roman" w:eastAsia="黑体"/>
                          </w:rPr>
                        </w:pPr>
                      </w:p>
                    </w:txbxContent>
                  </v:textbox>
                </v:shape>
                <v:shape id="文本框 2" o:spid="_x0000_s1026" o:spt="202" type="#_x0000_t202" style="position:absolute;left:12357;top:3249827;height:4312920;width:5733415;" fillcolor="#FFFFFF" filled="t" stroked="f" coordsize="21600,21600" o:gfxdata="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i+eb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before="156" w:beforeLines="50" w:after="156" w:afterLines="50" w:line="240" w:lineRule="auto"/>
                          <w:jc w:val="center"/>
                          <w:rPr>
                            <w:rFonts w:ascii="Times New Roman" w:hAnsi="Times New Roman" w:eastAsia="黑体"/>
                            <w:sz w:val="48"/>
                            <w:szCs w:val="48"/>
                          </w:rPr>
                        </w:pPr>
                      </w:p>
                      <w:p>
                        <w:pPr>
                          <w:spacing w:before="156" w:beforeLines="50" w:after="156" w:afterLines="50" w:line="240" w:lineRule="auto"/>
                          <w:jc w:val="center"/>
                          <w:rPr>
                            <w:rFonts w:ascii="Times New Roman" w:hAnsi="Times New Roman" w:eastAsia="黑体"/>
                            <w:sz w:val="48"/>
                            <w:szCs w:val="48"/>
                          </w:rPr>
                        </w:pPr>
                        <w:r>
                          <w:rPr>
                            <w:rFonts w:hint="eastAsia" w:ascii="Times New Roman" w:hAnsi="Times New Roman" w:eastAsia="黑体"/>
                            <w:sz w:val="48"/>
                            <w:szCs w:val="48"/>
                          </w:rPr>
                          <w:t>轨道交通装备轴类件修复工艺规范</w:t>
                        </w:r>
                      </w:p>
                      <w:p>
                        <w:pPr>
                          <w:jc w:val="center"/>
                          <w:rPr>
                            <w:rFonts w:hint="eastAsia" w:ascii="Times New Roman" w:hAnsi="Times New Roman" w:eastAsia="黑体"/>
                            <w:sz w:val="36"/>
                          </w:rPr>
                        </w:pPr>
                        <w:r>
                          <w:rPr>
                            <w:rFonts w:hint="eastAsia" w:ascii="Times New Roman" w:hAnsi="Times New Roman" w:eastAsia="黑体"/>
                            <w:sz w:val="36"/>
                          </w:rPr>
                          <w:t>Restoration process specifications for axle components of rolling stock</w:t>
                        </w:r>
                      </w:p>
                      <w:p>
                        <w:pPr>
                          <w:jc w:val="center"/>
                          <w:rPr>
                            <w:rFonts w:ascii="Times New Roman" w:hAnsi="Times New Roman" w:eastAsia="黑体"/>
                            <w:sz w:val="32"/>
                            <w:szCs w:val="32"/>
                          </w:rPr>
                        </w:pPr>
                        <w:r>
                          <w:rPr>
                            <w:rFonts w:hint="eastAsia" w:ascii="Times New Roman" w:hAnsi="Times New Roman" w:eastAsia="黑体"/>
                            <w:sz w:val="32"/>
                            <w:szCs w:val="32"/>
                          </w:rPr>
                          <w:t>(征求意见稿</w:t>
                        </w:r>
                        <w:r>
                          <w:rPr>
                            <w:rFonts w:ascii="Times New Roman" w:hAnsi="Times New Roman" w:eastAsia="黑体"/>
                            <w:sz w:val="32"/>
                            <w:szCs w:val="32"/>
                          </w:rPr>
                          <w:t>)</w:t>
                        </w:r>
                      </w:p>
                    </w:txbxContent>
                  </v:textbox>
                </v:shape>
                <v:shape id="文本框 2" o:spid="_x0000_s1026" o:spt="202" type="#_x0000_t202" style="position:absolute;left:0;top:8699156;height:353695;width:2303145;" filled="f" stroked="f" coordsize="21600,21600" o:gfxdata="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cX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v:textbox>
                </v:shape>
                <v:shape id="文本框 2" o:spid="_x0000_s1026" o:spt="202" type="#_x0000_t202" style="position:absolute;left:3447535;top:8711513;height:353695;width:2303145;" filled="f" stroked="f" coordsize="21600,21600" o:gfxdata="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8ytt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v:textbox>
                </v:shape>
                <v:shape id="文本框 2" o:spid="_x0000_s1026" o:spt="202" type="#_x0000_t202" style="position:absolute;left:1717589;top:9193409;height:354984;width:2303310;" filled="f" stroked="f" coordsize="21600,21600" o:gfxdata="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GM3bb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jc w:val="center"/>
                          <w:rPr>
                            <w:rFonts w:ascii="Times New Roman" w:hAnsi="Times New Roman" w:eastAsia="黑体"/>
                            <w:sz w:val="30"/>
                          </w:rPr>
                        </w:pPr>
                        <w:r>
                          <w:rPr>
                            <w:rFonts w:hint="eastAsia" w:ascii="Times New Roman" w:hAnsi="Times New Roman" w:eastAsia="黑体"/>
                            <w:sz w:val="30"/>
                            <w:szCs w:val="30"/>
                          </w:rPr>
                          <w:t>中国机械工程学会 发布</w:t>
                        </w:r>
                      </w:p>
                    </w:txbxContent>
                  </v:textbox>
                </v:shape>
                <v:line id="_x0000_s1026" o:spid="_x0000_s1026" o:spt="20" style="position:absolute;left:0;top:2310713;height:0;width:5753735;" filled="f" stroked="t" coordsize="21600,21600" o:gfxdata="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j59vQAA&#10;ANsAAAAPAAAAAAAAAAEAIAAAACIAAABkcnMvZG93bnJldi54bWxQSwECFAAUAAAACACHTuJAMy8F&#10;njsAAAA5AAAAEAAAAAAAAAABACAAAAAMAQAAZHJzL3NoYXBleG1sLnhtbFBLBQYAAAAABgAGAFsB&#10;AAC2AwAAAAA=&#10;">
                  <v:fill on="f" focussize="0,0"/>
                  <v:stroke weight="1.25pt" color="#000000 [3213]" miterlimit="8" joinstyle="miter"/>
                  <v:imagedata o:title=""/>
                  <o:lock v:ext="edit" aspectratio="f"/>
                </v:line>
                <v:line id="_x0000_s1026" o:spid="_x0000_s1026" o:spt="20" style="position:absolute;left:0;top:9082216;height:0;width:5753735;" filled="f" stroked="t" coordsize="21600,21600" o:gfxdata="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4QLOLsAAADb&#10;AAAADwAAAAAAAAABACAAAAAiAAAAZHJzL2Rvd25yZXYueG1sUEsBAhQAFAAAAAgAh07iQDMvBZ47&#10;AAAAOQAAABAAAAAAAAAAAQAgAAAACgEAAGRycy9zaGFwZXhtbC54bWxQSwUGAAAAAAYABgBbAQAA&#10;tAMAAAAA&#10;">
                  <v:fill on="f" focussize="0,0"/>
                  <v:stroke weight="1.25pt" color="#000000 [3213]" miterlimit="8" joinstyle="miter"/>
                  <v:imagedata o:title=""/>
                  <o:lock v:ext="edit" aspectratio="f"/>
                </v:line>
                <w10:wrap type="square"/>
              </v:group>
            </w:pict>
          </mc:Fallback>
        </mc:AlternateContent>
      </w:r>
    </w:p>
    <w:p>
      <w:pPr>
        <w:spacing w:line="240" w:lineRule="auto"/>
        <w:rPr>
          <w:rFonts w:ascii="Times New Roman" w:hAnsi="Times New Roman"/>
        </w:rPr>
      </w:pPr>
      <w:r>
        <w:rPr>
          <w:rFonts w:ascii="Times New Roman" w:hAnsi="Times New Roman"/>
        </w:rPr>
        <mc:AlternateContent>
          <mc:Choice Requires="wps">
            <w:drawing>
              <wp:inline distT="0" distB="0" distL="0" distR="0">
                <wp:extent cx="5737860" cy="6955155"/>
                <wp:effectExtent l="0" t="0" r="0" b="0"/>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37860" cy="6955200"/>
                        </a:xfrm>
                        <a:prstGeom prst="rect">
                          <a:avLst/>
                        </a:prstGeom>
                        <a:solidFill>
                          <a:srgbClr val="FFFFFF"/>
                        </a:solidFill>
                        <a:ln w="9525">
                          <a:noFill/>
                          <a:miter lim="800000"/>
                        </a:ln>
                      </wps:spPr>
                      <wps:txbx>
                        <w:txbxContent>
                          <w:p>
                            <w:pPr>
                              <w:spacing w:line="240" w:lineRule="auto"/>
                              <w:ind w:firstLine="420" w:firstLineChars="200"/>
                              <w:rPr>
                                <w:rFonts w:ascii="Times New Roman" w:hAnsi="Times New Roman"/>
                              </w:rPr>
                            </w:pPr>
                            <w:r>
                              <w:rPr>
                                <w:rFonts w:hint="eastAsia" w:ascii="Times New Roman" w:hAnsi="Times New Roman"/>
                              </w:rPr>
                              <w:t>中国机械工程学会（英文简称CMES）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pPr>
                              <w:spacing w:line="240" w:lineRule="auto"/>
                              <w:ind w:firstLine="420" w:firstLineChars="200"/>
                              <w:rPr>
                                <w:rFonts w:ascii="Times New Roman" w:hAnsi="Times New Roman"/>
                              </w:rPr>
                            </w:pPr>
                            <w:r>
                              <w:rPr>
                                <w:rFonts w:hint="eastAsia" w:ascii="Times New Roman" w:hAnsi="Times New Roman"/>
                              </w:rPr>
                              <w:t>中国机械工程学会团体标准按《中国机械工程学会标准化管理办法》进行制定和管理。</w:t>
                            </w:r>
                          </w:p>
                          <w:p>
                            <w:pPr>
                              <w:spacing w:line="240" w:lineRule="auto"/>
                              <w:ind w:firstLine="420" w:firstLineChars="200"/>
                              <w:rPr>
                                <w:rFonts w:ascii="Times New Roman" w:hAnsi="Times New Roman"/>
                              </w:rPr>
                            </w:pPr>
                            <w:r>
                              <w:rPr>
                                <w:rFonts w:hint="eastAsia" w:ascii="Times New Roman" w:hAnsi="Times New Roman"/>
                              </w:rPr>
                              <w:t>中国机械工程学会团体标准草案经向社会公开征求意见，并得到参加审定会议的</w:t>
                            </w:r>
                            <w:r>
                              <w:rPr>
                                <w:rFonts w:ascii="Times New Roman" w:hAnsi="Times New Roman"/>
                              </w:rPr>
                              <w:t>3/4</w:t>
                            </w:r>
                            <w:r>
                              <w:rPr>
                                <w:rFonts w:hint="eastAsia" w:ascii="Times New Roman" w:hAnsi="Times New Roman"/>
                              </w:rPr>
                              <w:t>以上的专家、成员的投票赞同，方可作为中国机械工程学会团体标准予以发布。</w:t>
                            </w:r>
                          </w:p>
                          <w:p>
                            <w:pPr>
                              <w:spacing w:line="240" w:lineRule="auto"/>
                              <w:ind w:firstLine="420" w:firstLineChars="200"/>
                              <w:rPr>
                                <w:rFonts w:ascii="Times New Roman" w:hAnsi="Times New Roman"/>
                              </w:rPr>
                            </w:pPr>
                            <w:r>
                              <w:rPr>
                                <w:rFonts w:hint="eastAsia" w:ascii="Times New Roman" w:hAnsi="Times New Roman"/>
                              </w:rPr>
                              <w:t>在本标准实施过程中，如发现需要修改或补充之处，请将意见和有关资料寄给中国机械工程学会，以便修订时参考。</w:t>
                            </w:r>
                          </w:p>
                          <w:p>
                            <w:pPr>
                              <w:spacing w:line="240" w:lineRule="auto"/>
                            </w:pPr>
                          </w:p>
                        </w:txbxContent>
                      </wps:txbx>
                      <wps:bodyPr rot="0" vert="horz" wrap="square" lIns="0" tIns="0" rIns="0" bIns="0" anchor="t" anchorCtr="0">
                        <a:noAutofit/>
                      </wps:bodyPr>
                    </wps:wsp>
                  </a:graphicData>
                </a:graphic>
              </wp:inline>
            </w:drawing>
          </mc:Choice>
          <mc:Fallback>
            <w:pict>
              <v:shape id="文本框 2" o:spid="_x0000_s1026" o:spt="202" type="#_x0000_t202" style="height:547.65pt;width:451.8pt;" fillcolor="#FFFFFF" filled="t" stroked="f" coordsize="21600,21600" o:gfxdata="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EvyI1gAAAAYBAAAPAAAAAAAAAAEAIAAAACIAAABkcnMvZG93bnJldi54bWxQSwEC&#10;FAAUAAAACACHTuJAM968Wi8CAABEBAAADgAAAAAAAAABACAAAAAlAQAAZHJzL2Uyb0RvYy54bWxQ&#10;SwUGAAAAAAYABgBZAQAAxgUAAAAA&#10;">
                <v:fill on="t" focussize="0,0"/>
                <v:stroke on="f" miterlimit="8" joinstyle="miter"/>
                <v:imagedata o:title=""/>
                <o:lock v:ext="edit" aspectratio="f"/>
                <v:textbox inset="0mm,0mm,0mm,0mm">
                  <w:txbxContent>
                    <w:p>
                      <w:pPr>
                        <w:spacing w:line="240" w:lineRule="auto"/>
                        <w:ind w:firstLine="420" w:firstLineChars="200"/>
                        <w:rPr>
                          <w:rFonts w:ascii="Times New Roman" w:hAnsi="Times New Roman"/>
                        </w:rPr>
                      </w:pPr>
                      <w:r>
                        <w:rPr>
                          <w:rFonts w:hint="eastAsia" w:ascii="Times New Roman" w:hAnsi="Times New Roman"/>
                        </w:rPr>
                        <w:t>中国机械工程学会（英文简称CMES）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pPr>
                        <w:spacing w:line="240" w:lineRule="auto"/>
                        <w:ind w:firstLine="420" w:firstLineChars="200"/>
                        <w:rPr>
                          <w:rFonts w:ascii="Times New Roman" w:hAnsi="Times New Roman"/>
                        </w:rPr>
                      </w:pPr>
                      <w:r>
                        <w:rPr>
                          <w:rFonts w:hint="eastAsia" w:ascii="Times New Roman" w:hAnsi="Times New Roman"/>
                        </w:rPr>
                        <w:t>中国机械工程学会团体标准按《中国机械工程学会标准化管理办法》进行制定和管理。</w:t>
                      </w:r>
                    </w:p>
                    <w:p>
                      <w:pPr>
                        <w:spacing w:line="240" w:lineRule="auto"/>
                        <w:ind w:firstLine="420" w:firstLineChars="200"/>
                        <w:rPr>
                          <w:rFonts w:ascii="Times New Roman" w:hAnsi="Times New Roman"/>
                        </w:rPr>
                      </w:pPr>
                      <w:r>
                        <w:rPr>
                          <w:rFonts w:hint="eastAsia" w:ascii="Times New Roman" w:hAnsi="Times New Roman"/>
                        </w:rPr>
                        <w:t>中国机械工程学会团体标准草案经向社会公开征求意见，并得到参加审定会议的</w:t>
                      </w:r>
                      <w:r>
                        <w:rPr>
                          <w:rFonts w:ascii="Times New Roman" w:hAnsi="Times New Roman"/>
                        </w:rPr>
                        <w:t>3/4</w:t>
                      </w:r>
                      <w:r>
                        <w:rPr>
                          <w:rFonts w:hint="eastAsia" w:ascii="Times New Roman" w:hAnsi="Times New Roman"/>
                        </w:rPr>
                        <w:t>以上的专家、成员的投票赞同，方可作为中国机械工程学会团体标准予以发布。</w:t>
                      </w:r>
                    </w:p>
                    <w:p>
                      <w:pPr>
                        <w:spacing w:line="240" w:lineRule="auto"/>
                        <w:ind w:firstLine="420" w:firstLineChars="200"/>
                        <w:rPr>
                          <w:rFonts w:ascii="Times New Roman" w:hAnsi="Times New Roman"/>
                        </w:rPr>
                      </w:pPr>
                      <w:r>
                        <w:rPr>
                          <w:rFonts w:hint="eastAsia" w:ascii="Times New Roman" w:hAnsi="Times New Roman"/>
                        </w:rPr>
                        <w:t>在本标准实施过程中，如发现需要修改或补充之处，请将意见和有关资料寄给中国机械工程学会，以便修订时参考。</w:t>
                      </w:r>
                    </w:p>
                    <w:p>
                      <w:pPr>
                        <w:spacing w:line="240" w:lineRule="auto"/>
                      </w:pPr>
                    </w:p>
                  </w:txbxContent>
                </v:textbox>
                <w10:wrap type="none"/>
                <w10:anchorlock/>
              </v:shape>
            </w:pict>
          </mc:Fallback>
        </mc:AlternateContent>
      </w:r>
    </w:p>
    <w:p>
      <w:pPr>
        <w:spacing w:line="240" w:lineRule="auto"/>
        <w:rPr>
          <w:rFonts w:ascii="Times New Roman" w:hAnsi="Times New Roman"/>
        </w:rPr>
        <w:sectPr>
          <w:headerReference r:id="rId10" w:type="first"/>
          <w:footerReference r:id="rId12" w:type="first"/>
          <w:headerReference r:id="rId9" w:type="default"/>
          <w:footerReference r:id="rId11" w:type="default"/>
          <w:pgSz w:w="11906" w:h="16838"/>
          <w:pgMar w:top="1418" w:right="1418" w:bottom="1134" w:left="1418" w:header="1417" w:footer="1134" w:gutter="0"/>
          <w:pgNumType w:fmt="upperRoman" w:start="1"/>
          <w:cols w:space="425" w:num="1"/>
          <w:docGrid w:type="lines" w:linePitch="312" w:charSpace="0"/>
        </w:sectPr>
      </w:pPr>
      <w:r>
        <w:rPr>
          <w:rFonts w:hint="eastAsia" w:ascii="Times New Roman" w:hAnsi="Times New Roman"/>
        </w:rPr>
        <mc:AlternateContent>
          <mc:Choice Requires="wpg">
            <w:drawing>
              <wp:inline distT="0" distB="0" distL="0" distR="0">
                <wp:extent cx="4314825" cy="1341755"/>
                <wp:effectExtent l="0" t="0" r="47625" b="29845"/>
                <wp:docPr id="2" name="组合 2"/>
                <wp:cNvGraphicFramePr/>
                <a:graphic xmlns:a="http://schemas.openxmlformats.org/drawingml/2006/main">
                  <a:graphicData uri="http://schemas.microsoft.com/office/word/2010/wordprocessingGroup">
                    <wpg:wgp>
                      <wpg:cNvGrpSpPr/>
                      <wpg:grpSpPr>
                        <a:xfrm>
                          <a:off x="0" y="0"/>
                          <a:ext cx="4314825" cy="1341755"/>
                          <a:chOff x="-9940" y="178904"/>
                          <a:chExt cx="4314825" cy="1341755"/>
                        </a:xfrm>
                      </wpg:grpSpPr>
                      <wps:wsp>
                        <wps:cNvPr id="1" name="文本框 2"/>
                        <wps:cNvSpPr txBox="1">
                          <a:spLocks noChangeArrowheads="1"/>
                        </wps:cNvSpPr>
                        <wps:spPr bwMode="auto">
                          <a:xfrm>
                            <a:off x="-9940" y="178904"/>
                            <a:ext cx="4248150" cy="1198244"/>
                          </a:xfrm>
                          <a:prstGeom prst="rect">
                            <a:avLst/>
                          </a:prstGeom>
                          <a:noFill/>
                          <a:ln w="9525">
                            <a:noFill/>
                            <a:miter lim="800000"/>
                          </a:ln>
                        </wps:spPr>
                        <wps:txbx>
                          <w:txbxContent>
                            <w:p>
                              <w:pPr>
                                <w:spacing w:line="240" w:lineRule="auto"/>
                                <w:ind w:firstLine="360" w:firstLineChars="200"/>
                                <w:rPr>
                                  <w:rStyle w:val="23"/>
                                  <w:rFonts w:ascii="Times New Roman"/>
                                </w:rPr>
                              </w:pPr>
                            </w:p>
                            <w:p>
                              <w:pPr>
                                <w:spacing w:line="240" w:lineRule="auto"/>
                                <w:ind w:firstLine="360" w:firstLineChars="200"/>
                                <w:rPr>
                                  <w:rStyle w:val="23"/>
                                  <w:rFonts w:ascii="Times New Roman" w:cs="Times New Roman"/>
                                </w:rPr>
                              </w:pPr>
                              <w:r>
                                <w:rPr>
                                  <w:rStyle w:val="23"/>
                                  <w:rFonts w:hint="eastAsia" w:ascii="Times New Roman"/>
                                </w:rPr>
                                <w:t>本标准版权为中国机械工程学会所有。除了用于国家法律或事先得到中国机械工程学会正式许可外，不许以任何形式复制、传播该标准或用于其他商业目的。</w:t>
                              </w:r>
                            </w:p>
                            <w:p>
                              <w:pPr>
                                <w:spacing w:line="240" w:lineRule="auto"/>
                                <w:ind w:firstLine="360" w:firstLineChars="200"/>
                                <w:rPr>
                                  <w:rStyle w:val="23"/>
                                  <w:rFonts w:ascii="Times New Roman" w:cs="Times New Roman"/>
                                </w:rPr>
                              </w:pPr>
                              <w:r>
                                <w:rPr>
                                  <w:rStyle w:val="23"/>
                                  <w:rFonts w:hint="eastAsia" w:ascii="Times New Roman"/>
                                </w:rPr>
                                <w:t>中国机械工程学会地址：北京市海淀区首体南路9号主语国际4座1</w:t>
                              </w:r>
                              <w:r>
                                <w:rPr>
                                  <w:rStyle w:val="23"/>
                                  <w:rFonts w:ascii="Times New Roman"/>
                                </w:rPr>
                                <w:t>1</w:t>
                              </w:r>
                              <w:r>
                                <w:rPr>
                                  <w:rStyle w:val="23"/>
                                  <w:rFonts w:hint="eastAsia" w:ascii="Times New Roman"/>
                                </w:rPr>
                                <w:t>层</w:t>
                              </w:r>
                            </w:p>
                            <w:p>
                              <w:pPr>
                                <w:spacing w:line="240" w:lineRule="auto"/>
                                <w:ind w:firstLine="360" w:firstLineChars="200"/>
                                <w:rPr>
                                  <w:rStyle w:val="23"/>
                                  <w:rFonts w:ascii="Times New Roman"/>
                                </w:rPr>
                              </w:pPr>
                              <w:r>
                                <w:rPr>
                                  <w:rStyle w:val="23"/>
                                  <w:rFonts w:hint="eastAsia" w:ascii="Times New Roman"/>
                                </w:rPr>
                                <w:t>邮政编码：</w:t>
                              </w:r>
                              <w:r>
                                <w:rPr>
                                  <w:rStyle w:val="23"/>
                                  <w:rFonts w:ascii="Times New Roman"/>
                                </w:rPr>
                                <w:t>100048</w:t>
                              </w:r>
                              <w:r>
                                <w:rPr>
                                  <w:rStyle w:val="23"/>
                                  <w:rFonts w:hint="eastAsia" w:ascii="Times New Roman"/>
                                </w:rPr>
                                <w:t xml:space="preserve">  电话：</w:t>
                              </w:r>
                              <w:r>
                                <w:rPr>
                                  <w:rStyle w:val="23"/>
                                  <w:rFonts w:ascii="Times New Roman"/>
                                </w:rPr>
                                <w:t>010-68799027</w:t>
                              </w:r>
                              <w:r>
                                <w:rPr>
                                  <w:rStyle w:val="23"/>
                                  <w:rFonts w:hint="eastAsia" w:ascii="Times New Roman"/>
                                </w:rPr>
                                <w:t xml:space="preserve">  传真：010-</w:t>
                              </w:r>
                              <w:r>
                                <w:rPr>
                                  <w:rStyle w:val="23"/>
                                  <w:rFonts w:ascii="Times New Roman"/>
                                </w:rPr>
                                <w:t>68799050</w:t>
                              </w:r>
                            </w:p>
                            <w:p>
                              <w:pPr>
                                <w:spacing w:line="240" w:lineRule="auto"/>
                                <w:ind w:firstLine="360" w:firstLineChars="200"/>
                                <w:rPr>
                                  <w:rFonts w:ascii="Times New Roman" w:hAnsi="Times New Roman"/>
                                </w:rPr>
                              </w:pPr>
                              <w:r>
                                <w:rPr>
                                  <w:rStyle w:val="23"/>
                                  <w:rFonts w:hint="eastAsia" w:ascii="Times New Roman"/>
                                </w:rPr>
                                <w:t>网址：</w:t>
                              </w:r>
                              <w:r>
                                <w:fldChar w:fldCharType="begin"/>
                              </w:r>
                              <w:r>
                                <w:instrText xml:space="preserve"> HYPERLINK "http://www.cmes." </w:instrText>
                              </w:r>
                              <w:r>
                                <w:fldChar w:fldCharType="separate"/>
                              </w:r>
                              <w:r>
                                <w:rPr>
                                  <w:rStyle w:val="24"/>
                                  <w:rFonts w:ascii="Times New Roman" w:hAnsi="Times New Roman" w:cs="宋体"/>
                                  <w:sz w:val="18"/>
                                  <w:szCs w:val="18"/>
                                </w:rPr>
                                <w:t>www.cmes.</w:t>
                              </w:r>
                              <w:r>
                                <w:rPr>
                                  <w:rStyle w:val="24"/>
                                  <w:rFonts w:ascii="Times New Roman" w:hAnsi="Times New Roman" w:cs="宋体"/>
                                  <w:sz w:val="18"/>
                                  <w:szCs w:val="18"/>
                                </w:rPr>
                                <w:fldChar w:fldCharType="end"/>
                              </w:r>
                              <w:r>
                                <w:rPr>
                                  <w:rStyle w:val="23"/>
                                  <w:rFonts w:ascii="Times New Roman"/>
                                </w:rPr>
                                <w:t xml:space="preserve">org   </w:t>
                              </w:r>
                              <w:r>
                                <w:rPr>
                                  <w:rStyle w:val="23"/>
                                  <w:rFonts w:hint="eastAsia" w:ascii="Times New Roman"/>
                                </w:rPr>
                                <w:t xml:space="preserve">联系人：袁俊瑞 </w:t>
                              </w:r>
                              <w:r>
                                <w:rPr>
                                  <w:rStyle w:val="23"/>
                                  <w:rFonts w:ascii="Times New Roman"/>
                                </w:rPr>
                                <w:t xml:space="preserve">  </w:t>
                              </w:r>
                              <w:r>
                                <w:rPr>
                                  <w:rStyle w:val="23"/>
                                  <w:rFonts w:hint="eastAsia" w:ascii="Times New Roman"/>
                                </w:rPr>
                                <w:t>电子信箱：yuanjr@cmes.org</w:t>
                              </w:r>
                            </w:p>
                          </w:txbxContent>
                        </wps:txbx>
                        <wps:bodyPr rot="0" vert="horz" wrap="square" lIns="0" tIns="0" rIns="0" bIns="0" anchor="t" anchorCtr="0">
                          <a:spAutoFit/>
                        </wps:bodyPr>
                      </wps:wsp>
                      <wps:wsp>
                        <wps:cNvPr id="77" name="Line 65"/>
                        <wps:cNvCnPr>
                          <a:cxnSpLocks noChangeShapeType="1"/>
                        </wps:cNvCnPr>
                        <wps:spPr bwMode="auto">
                          <a:xfrm>
                            <a:off x="0" y="1520659"/>
                            <a:ext cx="4304885" cy="0"/>
                          </a:xfrm>
                          <a:prstGeom prst="line">
                            <a:avLst/>
                          </a:prstGeom>
                          <a:noFill/>
                          <a:ln w="76200" cmpd="tri">
                            <a:solidFill>
                              <a:srgbClr val="000000"/>
                            </a:solidFill>
                            <a:round/>
                          </a:ln>
                        </wps:spPr>
                        <wps:bodyPr/>
                      </wps:wsp>
                    </wpg:wgp>
                  </a:graphicData>
                </a:graphic>
              </wp:inline>
            </w:drawing>
          </mc:Choice>
          <mc:Fallback>
            <w:pict>
              <v:group id="_x0000_s1026" o:spid="_x0000_s1026" o:spt="203" style="height:105.65pt;width:339.75pt;" coordorigin="-9940,178904" coordsize="4314825,1341755" o:gfxdata="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Mr44kzXAAAABQEAAA8AAAAAAAAAAQAgAAAAIgAAAGRycy9kb3ducmV2LnhtbFBLAQIUABQAAAAI&#10;AIdO4kDxFnoYCwMAADIHAAAOAAAAAAAAAAEAIAAAACYBAABkcnMvZTJvRG9jLnhtbFBLBQYAAAAA&#10;BgAGAFkBAACjBgAAAAA=&#10;">
                <o:lock v:ext="edit" aspectratio="f"/>
                <v:shape id="文本框 2" o:spid="_x0000_s1026" o:spt="202" type="#_x0000_t202" style="position:absolute;left:-9940;top:178904;height:1198244;width:4248150;" filled="f" stroked="f" coordsize="21600,21600" o:gfxdata="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8eZ25AAAA2g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inset="0mm,0mm,0mm,0mm" style="mso-fit-shape-to-text:t;">
                    <w:txbxContent>
                      <w:p>
                        <w:pPr>
                          <w:spacing w:line="240" w:lineRule="auto"/>
                          <w:ind w:firstLine="360" w:firstLineChars="200"/>
                          <w:rPr>
                            <w:rStyle w:val="23"/>
                            <w:rFonts w:ascii="Times New Roman"/>
                          </w:rPr>
                        </w:pPr>
                      </w:p>
                      <w:p>
                        <w:pPr>
                          <w:spacing w:line="240" w:lineRule="auto"/>
                          <w:ind w:firstLine="360" w:firstLineChars="200"/>
                          <w:rPr>
                            <w:rStyle w:val="23"/>
                            <w:rFonts w:ascii="Times New Roman" w:cs="Times New Roman"/>
                          </w:rPr>
                        </w:pPr>
                        <w:r>
                          <w:rPr>
                            <w:rStyle w:val="23"/>
                            <w:rFonts w:hint="eastAsia" w:ascii="Times New Roman"/>
                          </w:rPr>
                          <w:t>本标准版权为中国机械工程学会所有。除了用于国家法律或事先得到中国机械工程学会正式许可外，不许以任何形式复制、传播该标准或用于其他商业目的。</w:t>
                        </w:r>
                      </w:p>
                      <w:p>
                        <w:pPr>
                          <w:spacing w:line="240" w:lineRule="auto"/>
                          <w:ind w:firstLine="360" w:firstLineChars="200"/>
                          <w:rPr>
                            <w:rStyle w:val="23"/>
                            <w:rFonts w:ascii="Times New Roman" w:cs="Times New Roman"/>
                          </w:rPr>
                        </w:pPr>
                        <w:r>
                          <w:rPr>
                            <w:rStyle w:val="23"/>
                            <w:rFonts w:hint="eastAsia" w:ascii="Times New Roman"/>
                          </w:rPr>
                          <w:t>中国机械工程学会地址：北京市海淀区首体南路9号主语国际4座1</w:t>
                        </w:r>
                        <w:r>
                          <w:rPr>
                            <w:rStyle w:val="23"/>
                            <w:rFonts w:ascii="Times New Roman"/>
                          </w:rPr>
                          <w:t>1</w:t>
                        </w:r>
                        <w:r>
                          <w:rPr>
                            <w:rStyle w:val="23"/>
                            <w:rFonts w:hint="eastAsia" w:ascii="Times New Roman"/>
                          </w:rPr>
                          <w:t>层</w:t>
                        </w:r>
                      </w:p>
                      <w:p>
                        <w:pPr>
                          <w:spacing w:line="240" w:lineRule="auto"/>
                          <w:ind w:firstLine="360" w:firstLineChars="200"/>
                          <w:rPr>
                            <w:rStyle w:val="23"/>
                            <w:rFonts w:ascii="Times New Roman"/>
                          </w:rPr>
                        </w:pPr>
                        <w:r>
                          <w:rPr>
                            <w:rStyle w:val="23"/>
                            <w:rFonts w:hint="eastAsia" w:ascii="Times New Roman"/>
                          </w:rPr>
                          <w:t>邮政编码：</w:t>
                        </w:r>
                        <w:r>
                          <w:rPr>
                            <w:rStyle w:val="23"/>
                            <w:rFonts w:ascii="Times New Roman"/>
                          </w:rPr>
                          <w:t>100048</w:t>
                        </w:r>
                        <w:r>
                          <w:rPr>
                            <w:rStyle w:val="23"/>
                            <w:rFonts w:hint="eastAsia" w:ascii="Times New Roman"/>
                          </w:rPr>
                          <w:t xml:space="preserve">  电话：</w:t>
                        </w:r>
                        <w:r>
                          <w:rPr>
                            <w:rStyle w:val="23"/>
                            <w:rFonts w:ascii="Times New Roman"/>
                          </w:rPr>
                          <w:t>010-68799027</w:t>
                        </w:r>
                        <w:r>
                          <w:rPr>
                            <w:rStyle w:val="23"/>
                            <w:rFonts w:hint="eastAsia" w:ascii="Times New Roman"/>
                          </w:rPr>
                          <w:t xml:space="preserve">  传真：010-</w:t>
                        </w:r>
                        <w:r>
                          <w:rPr>
                            <w:rStyle w:val="23"/>
                            <w:rFonts w:ascii="Times New Roman"/>
                          </w:rPr>
                          <w:t>68799050</w:t>
                        </w:r>
                      </w:p>
                      <w:p>
                        <w:pPr>
                          <w:spacing w:line="240" w:lineRule="auto"/>
                          <w:ind w:firstLine="360" w:firstLineChars="200"/>
                          <w:rPr>
                            <w:rFonts w:ascii="Times New Roman" w:hAnsi="Times New Roman"/>
                          </w:rPr>
                        </w:pPr>
                        <w:r>
                          <w:rPr>
                            <w:rStyle w:val="23"/>
                            <w:rFonts w:hint="eastAsia" w:ascii="Times New Roman"/>
                          </w:rPr>
                          <w:t>网址：</w:t>
                        </w:r>
                        <w:r>
                          <w:fldChar w:fldCharType="begin"/>
                        </w:r>
                        <w:r>
                          <w:instrText xml:space="preserve"> HYPERLINK "http://www.cmes." </w:instrText>
                        </w:r>
                        <w:r>
                          <w:fldChar w:fldCharType="separate"/>
                        </w:r>
                        <w:r>
                          <w:rPr>
                            <w:rStyle w:val="24"/>
                            <w:rFonts w:ascii="Times New Roman" w:hAnsi="Times New Roman" w:cs="宋体"/>
                            <w:sz w:val="18"/>
                            <w:szCs w:val="18"/>
                          </w:rPr>
                          <w:t>www.cmes.</w:t>
                        </w:r>
                        <w:r>
                          <w:rPr>
                            <w:rStyle w:val="24"/>
                            <w:rFonts w:ascii="Times New Roman" w:hAnsi="Times New Roman" w:cs="宋体"/>
                            <w:sz w:val="18"/>
                            <w:szCs w:val="18"/>
                          </w:rPr>
                          <w:fldChar w:fldCharType="end"/>
                        </w:r>
                        <w:r>
                          <w:rPr>
                            <w:rStyle w:val="23"/>
                            <w:rFonts w:ascii="Times New Roman"/>
                          </w:rPr>
                          <w:t xml:space="preserve">org   </w:t>
                        </w:r>
                        <w:r>
                          <w:rPr>
                            <w:rStyle w:val="23"/>
                            <w:rFonts w:hint="eastAsia" w:ascii="Times New Roman"/>
                          </w:rPr>
                          <w:t xml:space="preserve">联系人：袁俊瑞 </w:t>
                        </w:r>
                        <w:r>
                          <w:rPr>
                            <w:rStyle w:val="23"/>
                            <w:rFonts w:ascii="Times New Roman"/>
                          </w:rPr>
                          <w:t xml:space="preserve">  </w:t>
                        </w:r>
                        <w:r>
                          <w:rPr>
                            <w:rStyle w:val="23"/>
                            <w:rFonts w:hint="eastAsia" w:ascii="Times New Roman"/>
                          </w:rPr>
                          <w:t>电子信箱：yuanjr@cmes.org</w:t>
                        </w:r>
                      </w:p>
                    </w:txbxContent>
                  </v:textbox>
                </v:shape>
                <v:line id="Line 65" o:spid="_x0000_s1026" o:spt="20" style="position:absolute;left:0;top:1520659;height:0;width:4304885;" filled="f" stroked="t" coordsize="21600,21600" o:gfxdata="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edLsAAADb&#10;AAAADwAAAAAAAAABACAAAAAiAAAAZHJzL2Rvd25yZXYueG1sUEsBAhQAFAAAAAgAh07iQDMvBZ47&#10;AAAAOQAAABAAAAAAAAAAAQAgAAAACgEAAGRycy9zaGFwZXhtbC54bWxQSwUGAAAAAAYABgBbAQAA&#10;tAMAAAAA&#10;">
                  <v:fill on="f" focussize="0,0"/>
                  <v:stroke weight="6pt" color="#000000" linestyle="thickBetweenThin" joinstyle="round"/>
                  <v:imagedata o:title=""/>
                  <o:lock v:ext="edit" aspectratio="f"/>
                </v:line>
                <w10:wrap type="none"/>
                <w10:anchorlock/>
              </v:group>
            </w:pict>
          </mc:Fallback>
        </mc:AlternateContent>
      </w:r>
    </w:p>
    <w:p>
      <w:pPr>
        <w:rPr>
          <w:rFonts w:hint="eastAsia"/>
        </w:rPr>
      </w:pPr>
      <w:bookmarkStart w:id="0" w:name="_Toc1651880"/>
      <w:bookmarkStart w:id="1" w:name="_Toc27923"/>
    </w:p>
    <w:sdt>
      <w:sdtPr>
        <w:rPr>
          <w:rFonts w:hint="eastAsia"/>
          <w:lang w:val="en-US" w:eastAsia="zh-CN"/>
        </w:rPr>
        <w:id w:val="147454670"/>
        <w15:color w:val="DBDBDB"/>
        <w:docPartObj>
          <w:docPartGallery w:val="Table of Contents"/>
          <w:docPartUnique/>
        </w:docPartObj>
      </w:sdtPr>
      <w:sdtEndPr>
        <w:rPr>
          <w:rFonts w:hint="eastAsia" w:ascii="Calibri" w:hAnsi="Calibri" w:eastAsia="宋体" w:cs="Calibri"/>
          <w:b/>
          <w:kern w:val="2"/>
          <w:sz w:val="21"/>
          <w:szCs w:val="21"/>
          <w:lang w:val="en-US" w:eastAsia="zh-CN" w:bidi="ar-SA"/>
        </w:rPr>
      </w:sdtEndPr>
      <w:sdtContent>
        <w:p>
          <w:pPr>
            <w:pStyle w:val="45"/>
            <w:rPr>
              <w:rFonts w:hint="eastAsia" w:eastAsia="黑体"/>
              <w:lang w:val="en-US" w:eastAsia="zh-CN"/>
            </w:rPr>
          </w:pPr>
          <w:r>
            <w:rPr>
              <w:rFonts w:hint="eastAsia"/>
            </w:rPr>
            <w:t>目</w:t>
          </w:r>
          <w:r>
            <w:rPr>
              <w:rFonts w:hint="eastAsia"/>
              <w:lang w:val="en-US" w:eastAsia="zh-CN"/>
            </w:rPr>
            <w:t xml:space="preserve">    次</w:t>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eastAsia"/>
            </w:rPr>
            <w:fldChar w:fldCharType="begin"/>
          </w:r>
          <w:r>
            <w:rPr>
              <w:rFonts w:hint="eastAsia"/>
            </w:rPr>
            <w:instrText xml:space="preserve">TOC \o "1-2" \h \u </w:instrText>
          </w:r>
          <w:r>
            <w:rPr>
              <w:rFonts w:hint="eastAsia"/>
            </w:rPr>
            <w:fldChar w:fldCharType="separate"/>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_Toc13510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前言</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_Toc13510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V</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_Toc20064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1 </w:t>
          </w:r>
          <w:r>
            <w:rPr>
              <w:rFonts w:hint="default" w:ascii="Times New Roman" w:hAnsi="Times New Roman" w:eastAsia="宋体" w:cs="Times New Roman"/>
              <w:b w:val="0"/>
              <w:bCs/>
            </w:rPr>
            <w:t>范围</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_Toc20064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1</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_Toc16741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2 </w:t>
          </w:r>
          <w:r>
            <w:rPr>
              <w:rFonts w:hint="default" w:ascii="Times New Roman" w:hAnsi="Times New Roman" w:eastAsia="宋体" w:cs="Times New Roman"/>
              <w:b w:val="0"/>
              <w:bCs/>
            </w:rPr>
            <w:t>规范性引用文件</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_Toc16741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1</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_Toc17148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3 </w:t>
          </w:r>
          <w:r>
            <w:rPr>
              <w:rFonts w:hint="default" w:ascii="Times New Roman" w:hAnsi="Times New Roman" w:eastAsia="宋体" w:cs="Times New Roman"/>
              <w:b w:val="0"/>
              <w:bCs/>
            </w:rPr>
            <w:t>术语和定义</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_Toc17148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1</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_Toc16603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4 </w:t>
          </w:r>
          <w:r>
            <w:rPr>
              <w:rFonts w:hint="default" w:ascii="Times New Roman" w:hAnsi="Times New Roman" w:eastAsia="宋体" w:cs="Times New Roman"/>
              <w:b w:val="0"/>
              <w:bCs/>
            </w:rPr>
            <w:t>总体要求</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_Toc16603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1</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2"/>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_Toc15337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4.1 </w:t>
          </w:r>
          <w:r>
            <w:rPr>
              <w:rFonts w:hint="default" w:ascii="Times New Roman" w:hAnsi="Times New Roman" w:eastAsia="宋体" w:cs="Times New Roman"/>
              <w:b w:val="0"/>
              <w:bCs/>
            </w:rPr>
            <w:t>修复原则</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_Toc15337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2</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2"/>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_Toc24385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4.2 </w:t>
          </w:r>
          <w:r>
            <w:rPr>
              <w:rFonts w:hint="default" w:ascii="Times New Roman" w:hAnsi="Times New Roman" w:eastAsia="宋体" w:cs="Times New Roman"/>
              <w:b w:val="0"/>
              <w:bCs/>
            </w:rPr>
            <w:t>人员</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_Toc24385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2</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2"/>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_Toc25695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4.3 </w:t>
          </w:r>
          <w:r>
            <w:rPr>
              <w:rFonts w:hint="default" w:ascii="Times New Roman" w:hAnsi="Times New Roman" w:eastAsia="宋体" w:cs="Times New Roman"/>
              <w:b w:val="0"/>
              <w:bCs/>
            </w:rPr>
            <w:t>设备</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_Toc25695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2</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2"/>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_Toc16770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lang w:val="en-US" w:eastAsia="zh-CN"/>
            </w:rPr>
            <w:t xml:space="preserve">4.4 </w:t>
          </w:r>
          <w:r>
            <w:rPr>
              <w:rFonts w:hint="default" w:ascii="Times New Roman" w:hAnsi="Times New Roman" w:eastAsia="宋体" w:cs="Times New Roman"/>
              <w:b w:val="0"/>
              <w:bCs/>
              <w:lang w:val="en-US" w:eastAsia="zh-CN"/>
            </w:rPr>
            <w:t>修复材料与耗材</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_Toc16770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2</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2"/>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_Toc30413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lang w:val="en-US" w:eastAsia="zh-CN"/>
            </w:rPr>
            <w:t xml:space="preserve">4.5 </w:t>
          </w:r>
          <w:r>
            <w:rPr>
              <w:rFonts w:hint="default" w:ascii="Times New Roman" w:hAnsi="Times New Roman" w:eastAsia="宋体" w:cs="Times New Roman"/>
              <w:b w:val="0"/>
              <w:bCs/>
              <w:lang w:val="en-US" w:eastAsia="zh-CN"/>
            </w:rPr>
            <w:t>环境</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_Toc30413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2</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_Toc31298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5 </w:t>
          </w:r>
          <w:r>
            <w:rPr>
              <w:rFonts w:hint="default" w:ascii="Times New Roman" w:hAnsi="Times New Roman" w:eastAsia="宋体" w:cs="Times New Roman"/>
              <w:b w:val="0"/>
              <w:bCs/>
              <w:lang w:val="en-US" w:eastAsia="zh-CN"/>
            </w:rPr>
            <w:t>工艺流程</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_Toc31298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2</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_Toc16205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6 </w:t>
          </w:r>
          <w:r>
            <w:rPr>
              <w:rFonts w:hint="default" w:ascii="Times New Roman" w:hAnsi="Times New Roman" w:eastAsia="宋体" w:cs="Times New Roman"/>
              <w:b w:val="0"/>
              <w:bCs/>
            </w:rPr>
            <w:t>检测与评价</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_Toc16205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3</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_Toc18629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7 </w:t>
          </w:r>
          <w:r>
            <w:rPr>
              <w:rFonts w:hint="default" w:ascii="Times New Roman" w:hAnsi="Times New Roman" w:eastAsia="宋体" w:cs="Times New Roman"/>
              <w:b w:val="0"/>
              <w:bCs/>
            </w:rPr>
            <w:t>修复方案制定</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_Toc18629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4</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_Toc27615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8 </w:t>
          </w:r>
          <w:r>
            <w:rPr>
              <w:rFonts w:hint="default" w:ascii="Times New Roman" w:hAnsi="Times New Roman" w:eastAsia="宋体" w:cs="Times New Roman"/>
              <w:b w:val="0"/>
              <w:bCs/>
            </w:rPr>
            <w:t>修复前预处理</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_Toc27615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4</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_Toc30035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rPr>
            <w:t xml:space="preserve">9 </w:t>
          </w:r>
          <w:r>
            <w:rPr>
              <w:rFonts w:hint="default" w:ascii="Times New Roman" w:hAnsi="Times New Roman" w:eastAsia="宋体" w:cs="Times New Roman"/>
              <w:b w:val="0"/>
              <w:bCs/>
            </w:rPr>
            <w:t>修复</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_Toc30035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4</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_Toc12062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lang w:val="en-US" w:eastAsia="zh-CN"/>
            </w:rPr>
            <w:t xml:space="preserve">10 </w:t>
          </w:r>
          <w:r>
            <w:rPr>
              <w:rFonts w:hint="default" w:ascii="Times New Roman" w:hAnsi="Times New Roman" w:eastAsia="宋体" w:cs="Times New Roman"/>
              <w:b w:val="0"/>
              <w:bCs/>
              <w:lang w:val="en-US" w:eastAsia="zh-CN"/>
            </w:rPr>
            <w:t>修复后加工</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_Toc12062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4</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_Toc18379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lang w:val="en-US" w:eastAsia="zh-CN"/>
            </w:rPr>
            <w:t xml:space="preserve">11 </w:t>
          </w:r>
          <w:r>
            <w:rPr>
              <w:rFonts w:hint="default" w:ascii="Times New Roman" w:hAnsi="Times New Roman" w:eastAsia="宋体" w:cs="Times New Roman"/>
              <w:b w:val="0"/>
              <w:bCs/>
              <w:lang w:val="en-US" w:eastAsia="zh-CN"/>
            </w:rPr>
            <w:t>质量检验</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_Toc18379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5</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_Toc17541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lang w:val="en-US" w:eastAsia="zh-CN"/>
            </w:rPr>
            <w:t xml:space="preserve">12 </w:t>
          </w:r>
          <w:r>
            <w:rPr>
              <w:rFonts w:hint="default" w:ascii="Times New Roman" w:hAnsi="Times New Roman" w:eastAsia="宋体" w:cs="Times New Roman"/>
              <w:b w:val="0"/>
              <w:bCs/>
              <w:lang w:val="en-US" w:eastAsia="zh-CN"/>
            </w:rPr>
            <w:t>标识</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_Toc17541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5</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_Toc29180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lang w:val="en-US" w:eastAsia="zh-CN"/>
            </w:rPr>
            <w:t xml:space="preserve">13 </w:t>
          </w:r>
          <w:r>
            <w:rPr>
              <w:rFonts w:hint="default" w:ascii="Times New Roman" w:hAnsi="Times New Roman" w:eastAsia="宋体" w:cs="Times New Roman"/>
              <w:b w:val="0"/>
              <w:bCs/>
              <w:lang w:val="en-US" w:eastAsia="zh-CN"/>
            </w:rPr>
            <w:t>包装储存运输</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_Toc29180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5</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_Toc8945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iCs w:val="0"/>
              <w:szCs w:val="21"/>
              <w:lang w:val="en-US" w:eastAsia="zh-CN"/>
            </w:rPr>
            <w:t xml:space="preserve">14 </w:t>
          </w:r>
          <w:r>
            <w:rPr>
              <w:rFonts w:hint="default" w:ascii="Times New Roman" w:hAnsi="Times New Roman" w:eastAsia="宋体" w:cs="Times New Roman"/>
              <w:b w:val="0"/>
              <w:bCs/>
              <w:lang w:val="en-US" w:eastAsia="zh-CN"/>
            </w:rPr>
            <w:t>验收</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_Toc8945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5</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_Toc23023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spacing w:val="0"/>
              <w:w w:val="100"/>
            </w:rPr>
            <w:t xml:space="preserve">附录A </w:t>
          </w:r>
          <w:r>
            <w:rPr>
              <w:rFonts w:hint="default" w:ascii="Times New Roman" w:hAnsi="Times New Roman" w:eastAsia="宋体" w:cs="Times New Roman"/>
              <w:b w:val="0"/>
              <w:bCs/>
            </w:rPr>
            <w:t xml:space="preserve"> </w:t>
          </w:r>
          <w:r>
            <w:rPr>
              <w:rFonts w:hint="default" w:ascii="Times New Roman" w:hAnsi="Times New Roman" w:eastAsia="宋体" w:cs="Times New Roman"/>
              <w:b w:val="0"/>
              <w:bCs/>
            </w:rPr>
            <w:t>（资料性）</w:t>
          </w:r>
          <w:r>
            <w:rPr>
              <w:rFonts w:hint="default" w:ascii="Times New Roman" w:hAnsi="Times New Roman" w:eastAsia="宋体" w:cs="Times New Roman"/>
              <w:b w:val="0"/>
              <w:bCs/>
            </w:rPr>
            <w:t xml:space="preserve"> </w:t>
          </w:r>
          <w:r>
            <w:rPr>
              <w:rFonts w:hint="eastAsia" w:ascii="Times New Roman" w:hAnsi="Times New Roman" w:eastAsia="宋体" w:cs="Times New Roman"/>
              <w:b w:val="0"/>
              <w:bCs/>
              <w:lang w:val="en-US" w:eastAsia="zh-CN"/>
            </w:rPr>
            <w:t xml:space="preserve"> </w:t>
          </w:r>
          <w:r>
            <w:rPr>
              <w:rFonts w:hint="default" w:ascii="Times New Roman" w:hAnsi="Times New Roman" w:eastAsia="宋体" w:cs="Times New Roman"/>
              <w:b w:val="0"/>
              <w:bCs/>
            </w:rPr>
            <w:t>轨道交通装备轴类修复常用修复设备及选取原则</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_Toc23023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6</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11"/>
            <w:keepNext w:val="0"/>
            <w:keepLines w:val="0"/>
            <w:pageBreakBefore w:val="0"/>
            <w:widowControl/>
            <w:tabs>
              <w:tab w:val="right" w:leader="dot" w:pos="9070"/>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\l _Toc21999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i w:val="0"/>
              <w:spacing w:val="0"/>
              <w:w w:val="100"/>
            </w:rPr>
            <w:t xml:space="preserve">附录B </w:t>
          </w:r>
          <w:r>
            <w:rPr>
              <w:rFonts w:hint="default" w:ascii="Times New Roman" w:hAnsi="Times New Roman" w:eastAsia="宋体" w:cs="Times New Roman"/>
              <w:b w:val="0"/>
              <w:bCs/>
            </w:rPr>
            <w:t xml:space="preserve"> </w:t>
          </w:r>
          <w:r>
            <w:rPr>
              <w:rFonts w:hint="eastAsia" w:ascii="Times New Roman" w:hAnsi="Times New Roman" w:eastAsia="宋体" w:cs="Times New Roman"/>
              <w:b w:val="0"/>
              <w:bCs/>
              <w:lang w:eastAsia="zh-CN"/>
            </w:rPr>
            <w:t>（</w:t>
          </w:r>
          <w:r>
            <w:rPr>
              <w:rFonts w:hint="eastAsia" w:ascii="Times New Roman" w:hAnsi="Times New Roman" w:eastAsia="宋体" w:cs="Times New Roman"/>
              <w:b w:val="0"/>
              <w:bCs/>
              <w:lang w:val="en-US" w:eastAsia="zh-CN"/>
            </w:rPr>
            <w:t>资料性</w:t>
          </w:r>
          <w:r>
            <w:rPr>
              <w:rFonts w:hint="eastAsia" w:ascii="Times New Roman" w:hAnsi="Times New Roman" w:eastAsia="宋体" w:cs="Times New Roman"/>
              <w:b w:val="0"/>
              <w:bCs/>
              <w:lang w:eastAsia="zh-CN"/>
            </w:rPr>
            <w:t>）</w:t>
          </w:r>
          <w:r>
            <w:rPr>
              <w:rFonts w:hint="eastAsia" w:ascii="Times New Roman" w:hAnsi="Times New Roman" w:eastAsia="宋体" w:cs="Times New Roman"/>
              <w:b w:val="0"/>
              <w:bCs/>
              <w:lang w:val="en-US" w:eastAsia="zh-CN"/>
            </w:rPr>
            <w:t xml:space="preserve"> </w:t>
          </w:r>
          <w:r>
            <w:rPr>
              <w:rFonts w:hint="default" w:ascii="Times New Roman" w:hAnsi="Times New Roman" w:eastAsia="宋体" w:cs="Times New Roman"/>
              <w:b w:val="0"/>
              <w:bCs/>
            </w:rPr>
            <w:t xml:space="preserve"> </w:t>
          </w:r>
          <w:r>
            <w:rPr>
              <w:rFonts w:hint="default" w:ascii="Times New Roman" w:hAnsi="Times New Roman" w:eastAsia="宋体" w:cs="Times New Roman"/>
              <w:b w:val="0"/>
              <w:bCs/>
            </w:rPr>
            <w:t>不同损伤类型下修复原则</w:t>
          </w:r>
          <w:r>
            <w:rPr>
              <w:rFonts w:hint="default" w:ascii="Times New Roman" w:hAnsi="Times New Roman" w:eastAsia="宋体" w:cs="Times New Roman"/>
              <w:b w:val="0"/>
              <w:bCs/>
            </w:rPr>
            <w:tab/>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PAGEREF _Toc21999 \h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7</w:t>
          </w:r>
          <w:r>
            <w:rPr>
              <w:rFonts w:hint="default" w:ascii="Times New Roman" w:hAnsi="Times New Roman" w:eastAsia="宋体" w:cs="Times New Roman"/>
              <w:b w:val="0"/>
              <w:bCs/>
            </w:rPr>
            <w:fldChar w:fldCharType="end"/>
          </w:r>
          <w:r>
            <w:rPr>
              <w:rFonts w:hint="default" w:ascii="Times New Roman" w:hAnsi="Times New Roman" w:eastAsia="宋体" w:cs="Times New Roman"/>
              <w:b w:val="0"/>
              <w:bCs/>
            </w:rPr>
            <w:fldChar w:fldCharType="end"/>
          </w:r>
        </w:p>
        <w:p>
          <w:pPr>
            <w:pStyle w:val="15"/>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"_Toc1653823" </w:instrText>
          </w:r>
          <w:r>
            <w:rPr>
              <w:rFonts w:hint="default" w:ascii="Times New Roman" w:hAnsi="Times New Roman" w:cs="Times New Roman"/>
            </w:rPr>
            <w:fldChar w:fldCharType="separate"/>
          </w:r>
          <w:r>
            <w:rPr>
              <w:rStyle w:val="24"/>
              <w:rFonts w:hint="default" w:ascii="Times New Roman" w:hAnsi="Times New Roman" w:cs="Times New Roman"/>
              <w:color w:val="auto"/>
              <w:u w:val="none"/>
            </w:rPr>
            <w:t>参考文献</w:t>
          </w:r>
          <w:r>
            <w:rPr>
              <w:rFonts w:hint="default" w:ascii="Times New Roman" w:hAnsi="Times New Roman" w:cs="Times New Roman"/>
            </w:rPr>
            <w:tab/>
          </w:r>
          <w:r>
            <w:rPr>
              <w:rFonts w:hint="default" w:ascii="Times New Roman" w:hAnsi="Times New Roman" w:cs="Times New Roman"/>
            </w:rPr>
            <w:t>8</w:t>
          </w:r>
          <w:r>
            <w:rPr>
              <w:rFonts w:hint="default" w:ascii="Times New Roman" w:hAnsi="Times New Roman" w:cs="Times New Roman"/>
            </w:rPr>
            <w:fldChar w:fldCharType="end"/>
          </w:r>
        </w:p>
        <w:p>
          <w:pPr>
            <w:pStyle w:val="15"/>
            <w:rPr>
              <w:rFonts w:ascii="宋体" w:hAnsiTheme="minorHAnsi" w:eastAsiaTheme="minorEastAsia" w:cstheme="minorBidi"/>
              <w:szCs w:val="22"/>
            </w:rPr>
          </w:pPr>
          <w:r>
            <w:rPr>
              <w:rFonts w:hint="eastAsia"/>
              <w:b/>
            </w:rPr>
            <w:fldChar w:fldCharType="end"/>
          </w:r>
        </w:p>
      </w:sdtContent>
    </w:sdt>
    <w:p/>
    <w:p>
      <w:pPr>
        <w:pStyle w:val="15"/>
        <w:rPr>
          <w:rFonts w:hint="eastAsia"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"_Toc1653823" </w:instrText>
      </w:r>
      <w:r>
        <w:rPr>
          <w:rFonts w:hint="default" w:ascii="Times New Roman" w:hAnsi="Times New Roman" w:cs="Times New Roman"/>
        </w:rPr>
        <w:fldChar w:fldCharType="separate"/>
      </w:r>
      <w:r>
        <w:rPr>
          <w:rFonts w:hint="eastAsia" w:cs="Times New Roman"/>
          <w:lang w:val="en-US" w:eastAsia="zh-CN"/>
        </w:rPr>
        <w:t>图</w:t>
      </w:r>
      <w:r>
        <w:rPr>
          <w:rFonts w:hint="default" w:ascii="Times New Roman" w:hAnsi="Times New Roman" w:cs="Times New Roman"/>
        </w:rPr>
        <w:t>1</w:t>
      </w:r>
      <w:r>
        <w:rPr>
          <w:rFonts w:hint="default" w:ascii="Times New Roman" w:hAnsi="Times New Roman" w:cs="Times New Roman"/>
        </w:rPr>
        <w:tab/>
      </w:r>
      <w:r>
        <w:rPr>
          <w:rFonts w:hint="eastAsia" w:ascii="Times New Roman" w:hAnsi="Times New Roman" w:cs="Times New Roman"/>
        </w:rPr>
        <w:t>轨道交通装备轴类件修复工艺流程图</w:t>
      </w:r>
      <w:r>
        <w:rPr>
          <w:rFonts w:hint="default" w:ascii="Times New Roman" w:hAnsi="Times New Roman" w:cs="Times New Roman"/>
        </w:rPr>
        <w:tab/>
      </w:r>
      <w:r>
        <w:rPr>
          <w:rFonts w:hint="eastAsia" w:ascii="Times New Roman" w:hAnsi="Times New Roman" w:cs="Times New Roman"/>
        </w:rPr>
        <w:t>3</w:t>
      </w:r>
      <w:r>
        <w:rPr>
          <w:rFonts w:hint="eastAsia" w:ascii="Times New Roman" w:hAnsi="Times New Roman" w:cs="Times New Roman"/>
        </w:rPr>
        <w:fldChar w:fldCharType="end"/>
      </w:r>
    </w:p>
    <w:p>
      <w:pPr>
        <w:pStyle w:val="45"/>
      </w:pPr>
      <w:bookmarkStart w:id="2" w:name="_Toc13510"/>
      <w:r>
        <w:rPr>
          <w:rFonts w:hint="eastAsia"/>
        </w:rPr>
        <w:t xml:space="preserve">前 </w:t>
      </w:r>
      <w:r>
        <w:t xml:space="preserve">   </w:t>
      </w:r>
      <w:r>
        <w:rPr>
          <w:rFonts w:hint="eastAsia"/>
        </w:rPr>
        <w:t>言</w:t>
      </w:r>
      <w:bookmarkEnd w:id="0"/>
      <w:bookmarkEnd w:id="1"/>
      <w:bookmarkEnd w:id="2"/>
    </w:p>
    <w:p>
      <w:pPr>
        <w:widowControl/>
        <w:adjustRightInd/>
        <w:spacing w:line="240" w:lineRule="auto"/>
        <w:ind w:firstLine="420" w:firstLineChars="200"/>
        <w:jc w:val="left"/>
      </w:pPr>
      <w:r>
        <w:rPr>
          <w:rFonts w:hint="eastAsia"/>
        </w:rPr>
        <w:t>本文件依据</w:t>
      </w:r>
      <w:r>
        <w:fldChar w:fldCharType="begin"/>
      </w:r>
      <w:r>
        <w:instrText xml:space="preserve"> HYPERLINK "http://www.zjsm.org/file/news/637231474274567101.pdf" \t "_blank" </w:instrText>
      </w:r>
      <w:r>
        <w:fldChar w:fldCharType="separate"/>
      </w:r>
      <w:r>
        <w:t xml:space="preserve">GB-T 1.1-2020 </w:t>
      </w:r>
      <w:r>
        <w:fldChar w:fldCharType="end"/>
      </w:r>
      <w:r>
        <w:rPr>
          <w:rFonts w:hint="eastAsia"/>
        </w:rPr>
        <w:t>给出的规则起草。</w:t>
      </w:r>
    </w:p>
    <w:p>
      <w:pPr>
        <w:pStyle w:val="42"/>
      </w:pPr>
      <w:r>
        <w:rPr>
          <w:rFonts w:hint="eastAsia"/>
        </w:rPr>
        <w:t>考虑到本文件中的某些条款可能涉及专利，中国机械工程学会不负责对任何该类专利的鉴别。</w:t>
      </w:r>
    </w:p>
    <w:p>
      <w:pPr>
        <w:pStyle w:val="42"/>
        <w:rPr>
          <w:rFonts w:hint="eastAsia" w:eastAsia="宋体"/>
          <w:lang w:eastAsia="zh-CN"/>
        </w:rPr>
      </w:pPr>
      <w:r>
        <w:rPr>
          <w:rFonts w:hint="eastAsia"/>
        </w:rPr>
        <w:t>本文件由中国机械工程学会提出并归口</w:t>
      </w:r>
      <w:r>
        <w:rPr>
          <w:rFonts w:hint="eastAsia"/>
          <w:lang w:eastAsia="zh-CN"/>
        </w:rPr>
        <w:t>。</w:t>
      </w:r>
    </w:p>
    <w:p>
      <w:pPr>
        <w:pStyle w:val="42"/>
      </w:pPr>
      <w:r>
        <w:rPr>
          <w:rFonts w:hint="eastAsia"/>
        </w:rPr>
        <w:t>本文件起草单位：</w:t>
      </w:r>
    </w:p>
    <w:p>
      <w:pPr>
        <w:pStyle w:val="42"/>
      </w:pPr>
      <w:r>
        <w:rPr>
          <w:rFonts w:hint="eastAsia"/>
        </w:rPr>
        <w:t>本文件起草人：</w:t>
      </w:r>
    </w:p>
    <w:p>
      <w:pPr>
        <w:pStyle w:val="42"/>
        <w:sectPr>
          <w:headerReference r:id="rId14" w:type="first"/>
          <w:headerReference r:id="rId13" w:type="even"/>
          <w:footerReference r:id="rId15" w:type="even"/>
          <w:pgSz w:w="11906" w:h="16838"/>
          <w:pgMar w:top="1418" w:right="1418" w:bottom="1134" w:left="1418" w:header="1417" w:footer="1134" w:gutter="0"/>
          <w:pgNumType w:fmt="upperRoman"/>
          <w:cols w:space="425" w:num="1"/>
          <w:titlePg/>
          <w:docGrid w:type="lines" w:linePitch="312" w:charSpace="0"/>
        </w:sectPr>
      </w:pPr>
      <w:bookmarkStart w:id="156" w:name="_GoBack"/>
      <w:bookmarkEnd w:id="156"/>
    </w:p>
    <w:p>
      <w:pPr>
        <w:pStyle w:val="45"/>
      </w:pPr>
      <w:bookmarkStart w:id="3" w:name="_Toc6310"/>
      <w:bookmarkStart w:id="4" w:name="_Toc19595"/>
      <w:r>
        <w:rPr>
          <w:rFonts w:hint="eastAsia"/>
        </w:rPr>
        <w:t>轨道交通装备轴类件修复工艺规范</w:t>
      </w:r>
      <w:bookmarkEnd w:id="3"/>
      <w:bookmarkEnd w:id="4"/>
    </w:p>
    <w:p>
      <w:pPr>
        <w:pStyle w:val="39"/>
      </w:pPr>
      <w:bookmarkStart w:id="5" w:name="_Toc1651883"/>
      <w:bookmarkStart w:id="6" w:name="_Toc9574"/>
      <w:bookmarkStart w:id="7" w:name="_Toc20064"/>
      <w:r>
        <w:rPr>
          <w:rFonts w:hint="eastAsia"/>
        </w:rPr>
        <w:t>范围</w:t>
      </w:r>
      <w:bookmarkEnd w:id="5"/>
      <w:bookmarkEnd w:id="6"/>
      <w:bookmarkEnd w:id="7"/>
    </w:p>
    <w:p>
      <w:pPr>
        <w:pStyle w:val="42"/>
      </w:pPr>
      <w:r>
        <w:rPr>
          <w:rFonts w:hint="eastAsia"/>
        </w:rPr>
        <w:t>本文件规定了轨道交通装备轴类件修复的总体要求、工艺流程、检测与评价、修复方案制定、修复前准备、修复、修复后处理、质量检验与验收。</w:t>
      </w:r>
    </w:p>
    <w:p>
      <w:pPr>
        <w:pStyle w:val="42"/>
        <w:rPr>
          <w:rFonts w:cs="Times New Roman"/>
        </w:rPr>
      </w:pPr>
      <w:r>
        <w:rPr>
          <w:rFonts w:hint="eastAsia"/>
        </w:rPr>
        <w:t>本文件适用于电机轴、车轴等轨道交通装备轴类件的修复，也可供轨道交通装备生产企业在轴类零部件制造过程中参考使用。</w:t>
      </w:r>
    </w:p>
    <w:p>
      <w:pPr>
        <w:pStyle w:val="39"/>
      </w:pPr>
      <w:bookmarkStart w:id="8" w:name="_Toc1651884"/>
      <w:bookmarkStart w:id="9" w:name="_Toc15149"/>
      <w:bookmarkStart w:id="10" w:name="_Toc16741"/>
      <w:r>
        <w:rPr>
          <w:rFonts w:hint="eastAsia"/>
        </w:rPr>
        <w:t>规范性引用文件</w:t>
      </w:r>
      <w:bookmarkEnd w:id="8"/>
      <w:bookmarkEnd w:id="9"/>
      <w:bookmarkEnd w:id="10"/>
    </w:p>
    <w:p>
      <w:pPr>
        <w:pStyle w:val="42"/>
      </w:pPr>
      <w:r>
        <w:rPr>
          <w:rFonts w:hint="eastAsia"/>
        </w:rPr>
        <w:t>下列文件对于本文件的应用是必不可少的。凡是注日期的引用文件，仅注日期的版本适用于本文件。凡是不注日期引用文件，其最新版本（包括所有的修改单）适用于本文件。</w:t>
      </w:r>
    </w:p>
    <w:p>
      <w:pPr>
        <w:pStyle w:val="42"/>
      </w:pPr>
      <w:r>
        <w:t xml:space="preserve">GB/T </w:t>
      </w:r>
      <w:r>
        <w:rPr>
          <w:rFonts w:hint="eastAsia"/>
        </w:rPr>
        <w:t>28618 机械产品再制造 通用技术要求</w:t>
      </w:r>
    </w:p>
    <w:p>
      <w:pPr>
        <w:pStyle w:val="42"/>
      </w:pPr>
      <w:r>
        <w:t xml:space="preserve">GB/T </w:t>
      </w:r>
      <w:r>
        <w:rPr>
          <w:rFonts w:hint="eastAsia"/>
        </w:rPr>
        <w:t>28619 再制造 术语</w:t>
      </w:r>
    </w:p>
    <w:p>
      <w:pPr>
        <w:pStyle w:val="42"/>
      </w:pPr>
      <w:r>
        <w:t xml:space="preserve">GB/T </w:t>
      </w:r>
      <w:r>
        <w:rPr>
          <w:rFonts w:hint="eastAsia"/>
        </w:rPr>
        <w:t>33947 再制造 机械加工技术规范</w:t>
      </w:r>
    </w:p>
    <w:p>
      <w:pPr>
        <w:pStyle w:val="42"/>
      </w:pPr>
      <w:r>
        <w:t xml:space="preserve">GB/T </w:t>
      </w:r>
      <w:r>
        <w:rPr>
          <w:rFonts w:hint="eastAsia"/>
        </w:rPr>
        <w:t>35977 再制造 机械产品表面修复技术规范</w:t>
      </w:r>
    </w:p>
    <w:p>
      <w:pPr>
        <w:pStyle w:val="42"/>
        <w:rPr>
          <w:rFonts w:hint="eastAsia"/>
        </w:rPr>
      </w:pPr>
      <w:r>
        <w:t xml:space="preserve">GB/T </w:t>
      </w:r>
      <w:r>
        <w:rPr>
          <w:rFonts w:hint="eastAsia"/>
        </w:rPr>
        <w:t>35978 再制造 机械产品检验技术导则</w:t>
      </w:r>
    </w:p>
    <w:p>
      <w:pPr>
        <w:pStyle w:val="42"/>
        <w:rPr>
          <w:rFonts w:hint="eastAsia"/>
        </w:rPr>
      </w:pPr>
      <w:r>
        <w:rPr>
          <w:rFonts w:hint="eastAsia"/>
        </w:rPr>
        <w:t>TB/T 1027.2 机车车轴 第2部分：车轴</w:t>
      </w:r>
    </w:p>
    <w:p>
      <w:pPr>
        <w:pStyle w:val="42"/>
        <w:rPr>
          <w:rFonts w:hint="eastAsia"/>
        </w:rPr>
      </w:pPr>
      <w:r>
        <w:rPr>
          <w:rFonts w:hint="eastAsia"/>
        </w:rPr>
        <w:t>TB/T 1619 机车车辆车轴磁粉探伤</w:t>
      </w:r>
    </w:p>
    <w:p>
      <w:pPr>
        <w:pStyle w:val="39"/>
      </w:pPr>
      <w:bookmarkStart w:id="11" w:name="_Toc18032"/>
      <w:bookmarkStart w:id="12" w:name="_Toc1651885"/>
      <w:bookmarkStart w:id="13" w:name="_Toc17148"/>
      <w:r>
        <w:rPr>
          <w:rFonts w:hint="eastAsia"/>
        </w:rPr>
        <w:t>术语和定义</w:t>
      </w:r>
      <w:bookmarkEnd w:id="11"/>
      <w:bookmarkEnd w:id="12"/>
      <w:bookmarkEnd w:id="13"/>
    </w:p>
    <w:p>
      <w:pPr>
        <w:pStyle w:val="42"/>
      </w:pPr>
      <w:r>
        <w:rPr>
          <w:rFonts w:hint="eastAsia"/>
        </w:rPr>
        <w:t>GB/T 28619和GB/T 35977界定的以及下列术语和定义适应于本文件。</w:t>
      </w:r>
    </w:p>
    <w:p>
      <w:pPr>
        <w:pStyle w:val="55"/>
      </w:pPr>
      <w:bookmarkStart w:id="14" w:name="_Toc942023"/>
      <w:bookmarkEnd w:id="14"/>
      <w:bookmarkStart w:id="15" w:name="_Toc1651886"/>
      <w:bookmarkEnd w:id="15"/>
      <w:bookmarkStart w:id="16" w:name="_Toc31953"/>
      <w:bookmarkEnd w:id="16"/>
      <w:bookmarkStart w:id="17" w:name="_Toc942352"/>
      <w:bookmarkEnd w:id="17"/>
      <w:bookmarkStart w:id="18" w:name="_Toc8627"/>
      <w:bookmarkEnd w:id="18"/>
    </w:p>
    <w:p>
      <w:pPr>
        <w:pStyle w:val="60"/>
        <w:rPr>
          <w:rFonts w:cs="Times New Roman"/>
        </w:rPr>
      </w:pPr>
      <w:r>
        <w:rPr>
          <w:rFonts w:hint="eastAsia"/>
        </w:rPr>
        <w:t>轨道交通装备轴类件 axle components of rolling stock</w:t>
      </w:r>
    </w:p>
    <w:p>
      <w:pPr>
        <w:pStyle w:val="42"/>
        <w:rPr>
          <w:rFonts w:hint="eastAsia"/>
        </w:rPr>
      </w:pPr>
      <w:r>
        <w:rPr>
          <w:rFonts w:hint="eastAsia"/>
        </w:rPr>
        <w:t>轨道交通装备中使用的由金属或合金制成的回转体零部件，具有承受转矩、传递动力、支撑重量等功能。</w:t>
      </w:r>
    </w:p>
    <w:p>
      <w:pPr>
        <w:pStyle w:val="42"/>
        <w:rPr>
          <w:rFonts w:hint="eastAsia" w:eastAsia="宋体"/>
          <w:lang w:eastAsia="zh-CN"/>
        </w:rPr>
      </w:pPr>
      <w:r>
        <w:rPr>
          <w:rFonts w:hint="eastAsia" w:ascii="黑体" w:hAnsi="黑体" w:eastAsia="黑体" w:cs="黑体"/>
          <w:kern w:val="0"/>
          <w:sz w:val="18"/>
          <w:szCs w:val="18"/>
          <w:lang w:val="en-US" w:eastAsia="zh-CN" w:bidi="ar-SA"/>
        </w:rPr>
        <w:t>注：</w:t>
      </w:r>
      <w:r>
        <w:rPr>
          <w:rFonts w:hint="eastAsia" w:ascii="Times New Roman" w:hAnsi="Times New Roman" w:eastAsia="宋体" w:cs="Times New Roman"/>
          <w:kern w:val="0"/>
          <w:sz w:val="18"/>
          <w:szCs w:val="18"/>
          <w:lang w:val="en-US" w:eastAsia="zh-CN" w:bidi="ar-SA"/>
        </w:rPr>
        <w:t>常见的轨道交通装备轴类件包括车轴、牵引电机轴等。</w:t>
      </w:r>
    </w:p>
    <w:p>
      <w:pPr>
        <w:pStyle w:val="55"/>
      </w:pPr>
      <w:bookmarkStart w:id="19" w:name="_Toc22363"/>
      <w:bookmarkEnd w:id="19"/>
      <w:bookmarkStart w:id="20" w:name="_Toc1651887"/>
      <w:bookmarkEnd w:id="20"/>
      <w:bookmarkStart w:id="21" w:name="_Toc942024"/>
      <w:bookmarkEnd w:id="21"/>
      <w:bookmarkStart w:id="22" w:name="_Toc942353"/>
      <w:bookmarkEnd w:id="22"/>
      <w:bookmarkStart w:id="23" w:name="_Toc16581"/>
      <w:bookmarkEnd w:id="23"/>
    </w:p>
    <w:p>
      <w:pPr>
        <w:pStyle w:val="60"/>
      </w:pPr>
      <w:r>
        <w:rPr>
          <w:rFonts w:hint="eastAsia"/>
        </w:rPr>
        <w:t>轴类件修复 axle components restoration</w:t>
      </w:r>
    </w:p>
    <w:p>
      <w:pPr>
        <w:pStyle w:val="42"/>
        <w:rPr>
          <w:rFonts w:cs="Times New Roman"/>
        </w:rPr>
      </w:pPr>
      <w:r>
        <w:rPr>
          <w:rFonts w:hint="eastAsia"/>
        </w:rPr>
        <w:t>对因制造、运输、服役、或检修过程中出现表面损伤或缺陷的轨道交通装备轴类件进行恢复或改善其性能、尺寸和外观的工艺过程。</w:t>
      </w:r>
      <w:bookmarkStart w:id="24" w:name="_Toc942358"/>
      <w:bookmarkEnd w:id="24"/>
      <w:bookmarkStart w:id="25" w:name="_Toc942029"/>
      <w:bookmarkEnd w:id="25"/>
      <w:bookmarkStart w:id="26" w:name="_Toc1651888"/>
      <w:bookmarkEnd w:id="26"/>
      <w:bookmarkStart w:id="27" w:name="_Toc942025"/>
      <w:bookmarkEnd w:id="27"/>
      <w:bookmarkStart w:id="28" w:name="_Toc942354"/>
      <w:bookmarkEnd w:id="28"/>
    </w:p>
    <w:p>
      <w:pPr>
        <w:pStyle w:val="39"/>
        <w:rPr>
          <w:rFonts w:cs="Times New Roman"/>
        </w:rPr>
      </w:pPr>
      <w:bookmarkStart w:id="29" w:name="_Toc31784"/>
      <w:bookmarkStart w:id="30" w:name="_Toc16603"/>
      <w:r>
        <w:rPr>
          <w:rFonts w:hint="eastAsia"/>
        </w:rPr>
        <w:t>总体要求</w:t>
      </w:r>
      <w:bookmarkEnd w:id="29"/>
      <w:bookmarkEnd w:id="30"/>
    </w:p>
    <w:p>
      <w:pPr>
        <w:pStyle w:val="55"/>
        <w:rPr>
          <w:rFonts w:hint="eastAsia"/>
        </w:rPr>
      </w:pPr>
      <w:bookmarkStart w:id="31" w:name="_Toc10292"/>
      <w:bookmarkStart w:id="32" w:name="_Toc1651893"/>
      <w:bookmarkStart w:id="33" w:name="_Hlk1649173"/>
      <w:bookmarkStart w:id="34" w:name="_Toc15337"/>
      <w:r>
        <w:rPr>
          <w:rFonts w:hint="eastAsia"/>
        </w:rPr>
        <w:t>修复原则</w:t>
      </w:r>
      <w:bookmarkEnd w:id="31"/>
      <w:bookmarkEnd w:id="32"/>
      <w:bookmarkEnd w:id="33"/>
      <w:bookmarkEnd w:id="34"/>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rPr>
      </w:pPr>
      <w:r>
        <w:rPr>
          <w:rFonts w:hint="eastAsia" w:ascii="Times New Roman" w:hAnsi="Times New Roman" w:eastAsia="宋体" w:cs="Calibri"/>
          <w:kern w:val="2"/>
          <w:sz w:val="21"/>
          <w:szCs w:val="21"/>
          <w:lang w:val="en-US" w:eastAsia="zh-CN" w:bidi="ar-SA"/>
        </w:rPr>
        <w:t>轴类件修复应在不影响轴类件功能和安全性能的前提下进行</w:t>
      </w:r>
      <w:r>
        <w:rPr>
          <w:rFonts w:hint="eastAsia"/>
          <w:lang w:eastAsia="zh-CN"/>
        </w:rPr>
        <w:t>。</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轴类件修复应根据被修复零件的材料、加工工艺、性能要求，以及损伤与缺陷的类型、位置、形貌等因素，选择合适的修复方法和材料。</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轴类件修复应尽量减少对轴类件原有结构和性能的影响，避免产生新的缺陷或损伤。</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轴类件修复应符合相关的技术标准和规范，保证修复质量和可靠性。</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轴类件修复应有完善的记录和追溯系统，记录修复人员、设备、材料、方法、环境、检验结果等信息</w:t>
      </w:r>
    </w:p>
    <w:p>
      <w:pPr>
        <w:pStyle w:val="55"/>
        <w:rPr>
          <w:rFonts w:eastAsia="宋体"/>
        </w:rPr>
      </w:pPr>
      <w:bookmarkStart w:id="35" w:name="_Toc1651894"/>
      <w:bookmarkStart w:id="36" w:name="_Toc28076"/>
      <w:bookmarkStart w:id="37" w:name="_Toc24385"/>
      <w:r>
        <w:rPr>
          <w:rFonts w:hint="eastAsia"/>
        </w:rPr>
        <w:t>人员</w:t>
      </w:r>
      <w:bookmarkEnd w:id="35"/>
      <w:bookmarkEnd w:id="36"/>
      <w:bookmarkEnd w:id="37"/>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从事轨道交通装备轴类件修复、技术管理和质量控制的人员应熟知本职业务，具有一定的专业理论知识和实践经验，必要时，可通过工作试件对操作人员的技能进行考核。</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轨道交通装备轴类件修复操作和检验人员应按国家和行业相关规定进行培训、考核并取得相应资质。</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修复操作人员及检验员应按规定接受定期考核，以保证其资质的有效性。</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修复操作人员应对自己的操作过程和结果进行记录并签字，以便于追溯和评价。</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对修复作业人员与进入修复场地的其他人员进行必要的安全培训与劳动保护，避免造成人身伤害。</w:t>
      </w:r>
    </w:p>
    <w:p>
      <w:pPr>
        <w:pStyle w:val="55"/>
        <w:rPr>
          <w:rFonts w:hint="eastAsia"/>
        </w:rPr>
      </w:pPr>
      <w:bookmarkStart w:id="38" w:name="_Toc1651895"/>
      <w:bookmarkStart w:id="39" w:name="_Toc13728"/>
      <w:bookmarkStart w:id="40" w:name="_Toc25695"/>
      <w:r>
        <w:rPr>
          <w:rFonts w:hint="eastAsia"/>
        </w:rPr>
        <w:t>设备</w:t>
      </w:r>
      <w:bookmarkEnd w:id="38"/>
      <w:bookmarkEnd w:id="39"/>
      <w:bookmarkEnd w:id="40"/>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根据轨道交通装备轴类件材质、形状、服役工况、损伤状况、性能要求及成本要求等，选用适宜的工艺设备进行修复。轨道交通装备轴类件修复常用修复设备及选取原则见附录A。</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按照要求对所使用的设备进行使用、保养。</w:t>
      </w:r>
    </w:p>
    <w:p>
      <w:pPr>
        <w:pStyle w:val="55"/>
        <w:rPr>
          <w:rFonts w:hint="eastAsia"/>
          <w:lang w:val="en-US" w:eastAsia="zh-CN"/>
        </w:rPr>
      </w:pPr>
      <w:bookmarkStart w:id="41" w:name="_Toc29979"/>
      <w:bookmarkStart w:id="42" w:name="_Toc16770"/>
      <w:r>
        <w:rPr>
          <w:rFonts w:hint="eastAsia"/>
          <w:lang w:val="en-US" w:eastAsia="zh-CN"/>
        </w:rPr>
        <w:t>修复材料与耗材</w:t>
      </w:r>
      <w:bookmarkEnd w:id="41"/>
      <w:bookmarkEnd w:id="42"/>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根据轨道交通装备轴类件材质、形状、服役工况、损伤状况、性能要求、成本要求及修复用工艺设备等，选用适宜的修复材料与耗材进行修复。</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按照材料与工艺要求对所使用的修复材料与耗材进行分类和贮存，避免潮湿、强光、易氧化等环境。</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应对修复材料基本性能进行测量或验证包括但不限于以下情况</w:t>
      </w:r>
      <w:r>
        <w:rPr>
          <w:rFonts w:hint="eastAsia" w:eastAsia="宋体" w:cs="Calibri"/>
          <w:kern w:val="2"/>
          <w:sz w:val="21"/>
          <w:szCs w:val="21"/>
          <w:lang w:val="en-US" w:eastAsia="zh-CN" w:bidi="ar-SA"/>
        </w:rPr>
        <w:t>：</w:t>
      </w:r>
    </w:p>
    <w:p>
      <w:pPr>
        <w:pStyle w:val="69"/>
        <w:rPr>
          <w:rFonts w:hint="eastAsia"/>
          <w:lang w:val="en-US" w:eastAsia="zh-CN"/>
        </w:rPr>
      </w:pPr>
      <w:r>
        <w:rPr>
          <w:rFonts w:hint="eastAsia"/>
          <w:lang w:val="en-US" w:eastAsia="zh-CN"/>
        </w:rPr>
        <w:t>新供应商；</w:t>
      </w:r>
    </w:p>
    <w:p>
      <w:pPr>
        <w:pStyle w:val="69"/>
        <w:rPr>
          <w:rFonts w:hint="eastAsia"/>
          <w:lang w:val="en-US" w:eastAsia="zh-CN"/>
        </w:rPr>
      </w:pPr>
      <w:r>
        <w:rPr>
          <w:rFonts w:hint="eastAsia"/>
          <w:lang w:val="en-US" w:eastAsia="zh-CN"/>
        </w:rPr>
        <w:t>供应商变更；</w:t>
      </w:r>
    </w:p>
    <w:p>
      <w:pPr>
        <w:pStyle w:val="69"/>
        <w:rPr>
          <w:rFonts w:hint="eastAsia"/>
          <w:lang w:val="en-US" w:eastAsia="zh-CN"/>
        </w:rPr>
      </w:pPr>
      <w:r>
        <w:rPr>
          <w:rFonts w:hint="eastAsia"/>
          <w:lang w:val="en-US" w:eastAsia="zh-CN"/>
        </w:rPr>
        <w:t>生产工艺变更。</w:t>
      </w:r>
    </w:p>
    <w:p>
      <w:pPr>
        <w:pStyle w:val="55"/>
        <w:rPr>
          <w:rFonts w:hint="eastAsia"/>
          <w:lang w:val="en-US" w:eastAsia="zh-CN"/>
        </w:rPr>
      </w:pPr>
      <w:bookmarkStart w:id="43" w:name="_Toc3922"/>
      <w:bookmarkStart w:id="44" w:name="_Toc30413"/>
      <w:r>
        <w:rPr>
          <w:rFonts w:hint="eastAsia"/>
          <w:lang w:val="en-US" w:eastAsia="zh-CN"/>
        </w:rPr>
        <w:t>环境</w:t>
      </w:r>
      <w:bookmarkEnd w:id="43"/>
      <w:bookmarkEnd w:id="44"/>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作业场地应能防护外界环境的不良影响，应根据不同的加工要求设有必要的温度控制、湿度控制、降噪、除尘、通风等设施。</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修复作业时场地环境温度应不低于5 ℃，湿度控制在70%以下。</w:t>
      </w:r>
    </w:p>
    <w:p>
      <w:pPr>
        <w:pStyle w:val="6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对修复过程中产生的各种固态、液态、气态废弃物进行分类收集，按照国家相关法律、法规、标准进行规范处理。</w:t>
      </w:r>
    </w:p>
    <w:p>
      <w:pPr>
        <w:pStyle w:val="39"/>
      </w:pPr>
      <w:bookmarkStart w:id="45" w:name="_Toc6821"/>
      <w:bookmarkStart w:id="46" w:name="_Toc31298"/>
      <w:r>
        <w:rPr>
          <w:rFonts w:hint="eastAsia"/>
          <w:lang w:val="en-US" w:eastAsia="zh-CN"/>
        </w:rPr>
        <w:t>工艺流程</w:t>
      </w:r>
      <w:bookmarkEnd w:id="45"/>
      <w:bookmarkEnd w:id="46"/>
    </w:p>
    <w:p>
      <w:pPr>
        <w:pStyle w:val="55"/>
        <w:rPr>
          <w:rFonts w:cs="Times New Roman"/>
        </w:rPr>
      </w:pPr>
      <w:bookmarkStart w:id="47" w:name="_Toc32501"/>
      <w:bookmarkStart w:id="48" w:name="_Toc10643"/>
      <w:r>
        <w:rPr>
          <w:rFonts w:hint="eastAsia" w:ascii="Times New Roman" w:hAnsi="Times New Roman" w:eastAsia="宋体" w:cs="Calibri"/>
          <w:kern w:val="2"/>
          <w:sz w:val="21"/>
          <w:szCs w:val="21"/>
          <w:lang w:val="en-US" w:eastAsia="zh-CN" w:bidi="ar-SA"/>
        </w:rPr>
        <w:t>轨道交通装备轴类件修复工艺流程如图1所示</w:t>
      </w:r>
      <w:r>
        <w:rPr>
          <w:rFonts w:hint="eastAsia" w:eastAsia="宋体" w:cs="Calibri"/>
          <w:kern w:val="2"/>
          <w:sz w:val="21"/>
          <w:szCs w:val="21"/>
          <w:lang w:val="en-US" w:eastAsia="zh-CN" w:bidi="ar-SA"/>
        </w:rPr>
        <w:t>：</w:t>
      </w:r>
      <w:bookmarkEnd w:id="47"/>
      <w:bookmarkEnd w:id="48"/>
    </w:p>
    <w:p>
      <w:pPr>
        <w:pStyle w:val="42"/>
        <w:jc w:val="center"/>
      </w:pPr>
      <w:r>
        <w:object>
          <v:shape id="_x0000_i1025" o:spt="75" type="#_x0000_t75" style="height:365pt;width:267.35pt;" o:ole="t" filled="f" o:preferrelative="t" stroked="f" coordsize="21600,21600">
            <v:path/>
            <v:fill on="f" focussize="0,0"/>
            <v:stroke on="f" joinstyle="miter"/>
            <v:imagedata r:id="rId25" o:title=""/>
            <o:lock v:ext="edit" aspectratio="t"/>
            <w10:wrap type="none"/>
            <w10:anchorlock/>
          </v:shape>
          <o:OLEObject Type="Embed" ProgID="Visio.Drawing.15" ShapeID="_x0000_i1025" DrawAspect="Content" ObjectID="_1468075725" r:id="rId24">
            <o:LockedField>false</o:LockedField>
          </o:OLEObject>
        </w:object>
      </w:r>
    </w:p>
    <w:p>
      <w:pPr>
        <w:pStyle w:val="68"/>
        <w:spacing w:before="156" w:after="156"/>
        <w:rPr>
          <w:rFonts w:hint="eastAsia"/>
        </w:rPr>
      </w:pPr>
      <w:r>
        <w:rPr>
          <w:rFonts w:hint="eastAsia"/>
        </w:rPr>
        <w:t>轨道交通装备轴类件修复工艺流程图</w:t>
      </w:r>
    </w:p>
    <w:p>
      <w:pPr>
        <w:pStyle w:val="55"/>
        <w:rPr>
          <w:rFonts w:hint="eastAsia" w:ascii="Times New Roman" w:hAnsi="Times New Roman" w:eastAsia="宋体" w:cs="Calibri"/>
          <w:kern w:val="2"/>
          <w:sz w:val="21"/>
          <w:szCs w:val="21"/>
          <w:lang w:val="en-US" w:eastAsia="zh-CN" w:bidi="ar-SA"/>
        </w:rPr>
      </w:pPr>
      <w:bookmarkStart w:id="49" w:name="_Toc17048"/>
      <w:bookmarkStart w:id="50" w:name="_Toc17280"/>
      <w:r>
        <w:rPr>
          <w:rFonts w:hint="eastAsia" w:ascii="Times New Roman" w:hAnsi="Times New Roman" w:eastAsia="宋体" w:cs="Calibri"/>
          <w:kern w:val="2"/>
          <w:sz w:val="21"/>
          <w:szCs w:val="21"/>
          <w:lang w:val="en-US" w:eastAsia="zh-CN" w:bidi="ar-SA"/>
        </w:rPr>
        <w:t>修复最大深度不宜超过3mm。</w:t>
      </w:r>
      <w:bookmarkEnd w:id="49"/>
      <w:bookmarkEnd w:id="50"/>
    </w:p>
    <w:p>
      <w:pPr>
        <w:pStyle w:val="39"/>
        <w:rPr>
          <w:rFonts w:cs="Times New Roman"/>
        </w:rPr>
      </w:pPr>
      <w:bookmarkStart w:id="51" w:name="_Toc23467"/>
      <w:bookmarkStart w:id="52" w:name="_Toc16205"/>
      <w:r>
        <w:rPr>
          <w:rFonts w:hint="eastAsia"/>
        </w:rPr>
        <w:t>检测与评价</w:t>
      </w:r>
      <w:bookmarkEnd w:id="51"/>
      <w:bookmarkEnd w:id="52"/>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53" w:name="_Toc879"/>
      <w:bookmarkStart w:id="54" w:name="_Toc27546"/>
      <w:r>
        <w:rPr>
          <w:rFonts w:hint="eastAsia" w:ascii="Times New Roman" w:hAnsi="Times New Roman" w:eastAsia="宋体" w:cs="Calibri"/>
          <w:kern w:val="2"/>
          <w:sz w:val="21"/>
          <w:szCs w:val="21"/>
          <w:lang w:val="en-US" w:eastAsia="zh-CN" w:bidi="ar-SA"/>
        </w:rPr>
        <w:t>应收集待修复轴类件的技术要求、设计寿命、使用时间、工作条件、维修记录、工作温度、振动、材质、热处理、表面处理等信息及资料</w:t>
      </w:r>
      <w:r>
        <w:rPr>
          <w:rFonts w:hint="eastAsia" w:eastAsia="宋体" w:cs="Calibri"/>
          <w:kern w:val="2"/>
          <w:sz w:val="21"/>
          <w:szCs w:val="21"/>
          <w:lang w:val="en-US" w:eastAsia="zh-CN" w:bidi="ar-SA"/>
        </w:rPr>
        <w:t>。</w:t>
      </w:r>
      <w:bookmarkEnd w:id="53"/>
      <w:bookmarkEnd w:id="54"/>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55" w:name="_Toc5718"/>
      <w:bookmarkStart w:id="56" w:name="_Toc21066"/>
      <w:r>
        <w:rPr>
          <w:rFonts w:hint="eastAsia" w:ascii="Times New Roman" w:hAnsi="Times New Roman" w:eastAsia="宋体" w:cs="Calibri"/>
          <w:kern w:val="2"/>
          <w:sz w:val="21"/>
          <w:szCs w:val="21"/>
          <w:lang w:val="en-US" w:eastAsia="zh-CN" w:bidi="ar-SA"/>
        </w:rPr>
        <w:t>修复前需记录轨道交通装备轴类件损伤信息，主要包括损伤类型、损伤位置、损伤尺寸形貌等。应根据待修复轴类件的损伤类型、损伤程度、风险评估结果及历史检测等情况，确定检测目标、检测方法及检测设备。</w:t>
      </w:r>
      <w:bookmarkEnd w:id="55"/>
      <w:bookmarkEnd w:id="56"/>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57" w:name="_Toc21880"/>
      <w:bookmarkStart w:id="58" w:name="_Toc15205"/>
      <w:r>
        <w:rPr>
          <w:rFonts w:hint="eastAsia" w:ascii="Times New Roman" w:hAnsi="Times New Roman" w:eastAsia="宋体" w:cs="Calibri"/>
          <w:kern w:val="2"/>
          <w:sz w:val="21"/>
          <w:szCs w:val="21"/>
          <w:lang w:val="en-US" w:eastAsia="zh-CN" w:bidi="ar-SA"/>
        </w:rPr>
        <w:t>需对轴类件的待修复部位和临近区域进行无损探伤，轨道交通装备轴类件检测包括但不限于以下方法，具体由委托方和承接方协商确定</w:t>
      </w:r>
      <w:r>
        <w:rPr>
          <w:rFonts w:hint="eastAsia" w:eastAsia="宋体" w:cs="Calibri"/>
          <w:kern w:val="2"/>
          <w:sz w:val="21"/>
          <w:szCs w:val="21"/>
          <w:lang w:val="en-US" w:eastAsia="zh-CN" w:bidi="ar-SA"/>
        </w:rPr>
        <w:t>：</w:t>
      </w:r>
      <w:bookmarkEnd w:id="57"/>
      <w:bookmarkEnd w:id="58"/>
    </w:p>
    <w:p>
      <w:pPr>
        <w:pStyle w:val="69"/>
        <w:numPr>
          <w:ilvl w:val="0"/>
          <w:numId w:val="8"/>
        </w:numPr>
        <w:rPr>
          <w:rFonts w:hint="eastAsia"/>
          <w:lang w:val="en-US" w:eastAsia="zh-CN"/>
        </w:rPr>
      </w:pPr>
      <w:r>
        <w:rPr>
          <w:rFonts w:hint="eastAsia"/>
          <w:lang w:val="en-US" w:eastAsia="zh-CN"/>
        </w:rPr>
        <w:t>几何尺寸检测；</w:t>
      </w:r>
    </w:p>
    <w:p>
      <w:pPr>
        <w:pStyle w:val="69"/>
        <w:numPr>
          <w:ilvl w:val="0"/>
          <w:numId w:val="8"/>
        </w:numPr>
        <w:rPr>
          <w:rFonts w:hint="eastAsia"/>
          <w:lang w:val="en-US" w:eastAsia="zh-CN"/>
        </w:rPr>
      </w:pPr>
      <w:r>
        <w:rPr>
          <w:rFonts w:hint="eastAsia"/>
          <w:lang w:val="en-US" w:eastAsia="zh-CN"/>
        </w:rPr>
        <w:t>磁粉检测；</w:t>
      </w:r>
    </w:p>
    <w:p>
      <w:pPr>
        <w:pStyle w:val="69"/>
        <w:numPr>
          <w:ilvl w:val="0"/>
          <w:numId w:val="8"/>
        </w:numPr>
        <w:rPr>
          <w:rFonts w:hint="eastAsia"/>
          <w:lang w:val="en-US" w:eastAsia="zh-CN"/>
        </w:rPr>
      </w:pPr>
      <w:r>
        <w:rPr>
          <w:rFonts w:hint="eastAsia"/>
          <w:lang w:val="en-US" w:eastAsia="zh-CN"/>
        </w:rPr>
        <w:t>渗透检测；</w:t>
      </w:r>
    </w:p>
    <w:p>
      <w:pPr>
        <w:pStyle w:val="69"/>
        <w:numPr>
          <w:ilvl w:val="0"/>
          <w:numId w:val="8"/>
        </w:numPr>
        <w:rPr>
          <w:rFonts w:hint="eastAsia"/>
          <w:lang w:val="en-US" w:eastAsia="zh-CN"/>
        </w:rPr>
      </w:pPr>
      <w:r>
        <w:rPr>
          <w:rFonts w:hint="eastAsia"/>
          <w:lang w:val="en-US" w:eastAsia="zh-CN"/>
        </w:rPr>
        <w:t>荧光检测；</w:t>
      </w:r>
    </w:p>
    <w:p>
      <w:pPr>
        <w:pStyle w:val="69"/>
        <w:numPr>
          <w:ilvl w:val="0"/>
          <w:numId w:val="8"/>
        </w:numPr>
        <w:rPr>
          <w:rFonts w:hint="eastAsia"/>
          <w:lang w:val="en-US" w:eastAsia="zh-CN"/>
        </w:rPr>
      </w:pPr>
      <w:r>
        <w:rPr>
          <w:rFonts w:hint="eastAsia"/>
          <w:lang w:val="en-US" w:eastAsia="zh-CN"/>
        </w:rPr>
        <w:t>超声波探伤检测；</w:t>
      </w:r>
    </w:p>
    <w:p>
      <w:pPr>
        <w:pStyle w:val="69"/>
        <w:numPr>
          <w:ilvl w:val="0"/>
          <w:numId w:val="8"/>
        </w:numPr>
        <w:rPr>
          <w:rFonts w:hint="eastAsia"/>
          <w:lang w:val="en-US" w:eastAsia="zh-CN"/>
        </w:rPr>
      </w:pPr>
      <w:r>
        <w:rPr>
          <w:rFonts w:hint="eastAsia"/>
          <w:lang w:val="en-US" w:eastAsia="zh-CN"/>
        </w:rPr>
        <w:t>射线检测；</w:t>
      </w:r>
    </w:p>
    <w:p>
      <w:pPr>
        <w:pStyle w:val="69"/>
        <w:numPr>
          <w:ilvl w:val="0"/>
          <w:numId w:val="8"/>
        </w:numPr>
        <w:rPr>
          <w:rFonts w:hint="eastAsia"/>
          <w:lang w:val="en-US" w:eastAsia="zh-CN"/>
        </w:rPr>
      </w:pPr>
      <w:r>
        <w:rPr>
          <w:rFonts w:hint="eastAsia"/>
          <w:lang w:val="en-US" w:eastAsia="zh-CN"/>
        </w:rPr>
        <w:t>工业计算机层析成像（CT）检测。</w:t>
      </w:r>
    </w:p>
    <w:p>
      <w:pPr>
        <w:pStyle w:val="39"/>
      </w:pPr>
      <w:bookmarkStart w:id="59" w:name="_Toc11581"/>
      <w:bookmarkStart w:id="60" w:name="_Toc18629"/>
      <w:r>
        <w:rPr>
          <w:rFonts w:hint="eastAsia"/>
        </w:rPr>
        <w:t>修复方案制定</w:t>
      </w:r>
      <w:bookmarkEnd w:id="59"/>
      <w:bookmarkEnd w:id="60"/>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61" w:name="_Toc12384"/>
      <w:bookmarkStart w:id="62" w:name="_Toc9728"/>
      <w:r>
        <w:rPr>
          <w:rFonts w:hint="eastAsia" w:ascii="Times New Roman" w:hAnsi="Times New Roman" w:eastAsia="宋体" w:cs="Calibri"/>
          <w:kern w:val="2"/>
          <w:sz w:val="21"/>
          <w:szCs w:val="21"/>
          <w:lang w:val="en-US" w:eastAsia="zh-CN" w:bidi="ar-SA"/>
        </w:rPr>
        <w:t>修复方案应包含技术方案、质量保证措施、安全保证措施、成本预算及周期等内容；</w:t>
      </w:r>
      <w:bookmarkEnd w:id="61"/>
      <w:bookmarkEnd w:id="62"/>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63" w:name="_Toc27089"/>
      <w:bookmarkStart w:id="64" w:name="_Toc8168"/>
      <w:r>
        <w:rPr>
          <w:rFonts w:hint="eastAsia" w:ascii="Times New Roman" w:hAnsi="Times New Roman" w:eastAsia="宋体" w:cs="Calibri"/>
          <w:kern w:val="2"/>
          <w:sz w:val="21"/>
          <w:szCs w:val="21"/>
          <w:lang w:val="en-US" w:eastAsia="zh-CN" w:bidi="ar-SA"/>
        </w:rPr>
        <w:t>修复前宜进行修复工艺试验，并对修复工艺进行评定。</w:t>
      </w:r>
      <w:bookmarkEnd w:id="63"/>
      <w:bookmarkEnd w:id="64"/>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eastAsia="宋体"/>
          <w:lang w:eastAsia="zh-CN"/>
        </w:rPr>
      </w:pPr>
      <w:bookmarkStart w:id="65" w:name="_Toc3687"/>
      <w:bookmarkStart w:id="66" w:name="_Toc22610"/>
      <w:r>
        <w:rPr>
          <w:rFonts w:hint="eastAsia" w:ascii="Times New Roman" w:hAnsi="Times New Roman" w:eastAsia="宋体" w:cs="Calibri"/>
          <w:kern w:val="2"/>
          <w:sz w:val="21"/>
          <w:szCs w:val="21"/>
          <w:lang w:val="en-US" w:eastAsia="zh-CN" w:bidi="ar-SA"/>
        </w:rPr>
        <w:t>修复技术方案包括但不限于以下内容：</w:t>
      </w:r>
      <w:bookmarkEnd w:id="65"/>
      <w:bookmarkEnd w:id="66"/>
    </w:p>
    <w:p>
      <w:pPr>
        <w:pStyle w:val="69"/>
        <w:numPr>
          <w:ilvl w:val="0"/>
          <w:numId w:val="9"/>
        </w:numPr>
        <w:rPr>
          <w:rFonts w:cs="Times New Roman"/>
        </w:rPr>
      </w:pPr>
      <w:r>
        <w:rPr>
          <w:rFonts w:hint="eastAsia"/>
        </w:rPr>
        <w:t>损伤类型；</w:t>
      </w:r>
    </w:p>
    <w:p>
      <w:pPr>
        <w:pStyle w:val="69"/>
        <w:numPr>
          <w:ilvl w:val="0"/>
          <w:numId w:val="9"/>
        </w:numPr>
        <w:rPr>
          <w:rFonts w:cs="Times New Roman"/>
        </w:rPr>
      </w:pPr>
      <w:r>
        <w:rPr>
          <w:rFonts w:hint="eastAsia"/>
        </w:rPr>
        <w:t>损伤程度；</w:t>
      </w:r>
    </w:p>
    <w:p>
      <w:pPr>
        <w:pStyle w:val="69"/>
        <w:numPr>
          <w:ilvl w:val="0"/>
          <w:numId w:val="9"/>
        </w:numPr>
        <w:rPr>
          <w:rFonts w:hint="eastAsia"/>
        </w:rPr>
      </w:pPr>
      <w:r>
        <w:rPr>
          <w:rFonts w:hint="eastAsia"/>
        </w:rPr>
        <w:t>修复方法与设备</w:t>
      </w:r>
      <w:r>
        <w:rPr>
          <w:rFonts w:hint="eastAsia"/>
          <w:lang w:eastAsia="zh-CN"/>
        </w:rPr>
        <w:t>；</w:t>
      </w:r>
    </w:p>
    <w:p>
      <w:pPr>
        <w:pStyle w:val="69"/>
        <w:numPr>
          <w:ilvl w:val="0"/>
          <w:numId w:val="9"/>
        </w:numPr>
        <w:rPr>
          <w:rFonts w:hint="eastAsia"/>
        </w:rPr>
      </w:pPr>
      <w:r>
        <w:rPr>
          <w:rFonts w:hint="eastAsia"/>
        </w:rPr>
        <w:t>修复材料与工艺；</w:t>
      </w:r>
    </w:p>
    <w:p>
      <w:pPr>
        <w:pStyle w:val="69"/>
        <w:numPr>
          <w:ilvl w:val="0"/>
          <w:numId w:val="9"/>
        </w:numPr>
        <w:rPr>
          <w:rFonts w:hint="eastAsia" w:eastAsia="宋体"/>
          <w:lang w:eastAsia="zh-CN"/>
        </w:rPr>
      </w:pPr>
      <w:r>
        <w:rPr>
          <w:rFonts w:hint="eastAsia"/>
        </w:rPr>
        <w:t>检测方法与设备；</w:t>
      </w:r>
    </w:p>
    <w:p>
      <w:pPr>
        <w:pStyle w:val="69"/>
        <w:numPr>
          <w:ilvl w:val="0"/>
          <w:numId w:val="9"/>
        </w:numPr>
        <w:rPr>
          <w:rFonts w:hint="eastAsia" w:eastAsia="宋体"/>
          <w:lang w:eastAsia="zh-CN"/>
        </w:rPr>
      </w:pPr>
      <w:r>
        <w:rPr>
          <w:rFonts w:hint="eastAsia"/>
        </w:rPr>
        <w:t>验收标准</w:t>
      </w:r>
      <w:r>
        <w:rPr>
          <w:rFonts w:hint="eastAsia"/>
          <w:lang w:eastAsia="zh-CN"/>
        </w:rPr>
        <w:t>。</w:t>
      </w:r>
    </w:p>
    <w:p>
      <w:pPr>
        <w:pStyle w:val="39"/>
        <w:rPr>
          <w:rFonts w:hint="eastAsia"/>
        </w:rPr>
      </w:pPr>
      <w:bookmarkStart w:id="67" w:name="_Toc8600"/>
      <w:bookmarkStart w:id="68" w:name="_Toc27615"/>
      <w:r>
        <w:rPr>
          <w:rFonts w:hint="eastAsia"/>
        </w:rPr>
        <w:t>修复前预处理</w:t>
      </w:r>
      <w:bookmarkEnd w:id="67"/>
      <w:bookmarkEnd w:id="68"/>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69" w:name="_Toc18967"/>
      <w:bookmarkStart w:id="70" w:name="_Toc11594"/>
      <w:r>
        <w:rPr>
          <w:rFonts w:hint="eastAsia" w:ascii="Times New Roman" w:hAnsi="Times New Roman" w:eastAsia="宋体" w:cs="Calibri"/>
          <w:kern w:val="2"/>
          <w:sz w:val="21"/>
          <w:szCs w:val="21"/>
          <w:lang w:val="en-US" w:eastAsia="zh-CN" w:bidi="ar-SA"/>
        </w:rPr>
        <w:t>根据待修复部位的位置、形状、尺寸及表面损伤状态等情况，选择机械、热力学、化学或电学等加工方式对待修复件损伤位置及邻近区域进行缺陷清除和修复面准备，从而满足后续修复工艺所需的表面粗糙度、尺寸及应力状态等要求。喷砂</w:t>
      </w:r>
      <w:bookmarkEnd w:id="69"/>
      <w:bookmarkEnd w:id="70"/>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71" w:name="_Toc15252"/>
      <w:bookmarkStart w:id="72" w:name="_Toc7554"/>
      <w:r>
        <w:rPr>
          <w:rFonts w:hint="eastAsia" w:ascii="Times New Roman" w:hAnsi="Times New Roman" w:eastAsia="宋体" w:cs="Calibri"/>
          <w:kern w:val="2"/>
          <w:sz w:val="21"/>
          <w:szCs w:val="21"/>
          <w:lang w:val="en-US" w:eastAsia="zh-CN" w:bidi="ar-SA"/>
        </w:rPr>
        <w:t>为保证修复工艺的稳定性，同种零件的预处理工艺和修复面尺寸应确保不变。</w:t>
      </w:r>
      <w:bookmarkEnd w:id="71"/>
      <w:bookmarkEnd w:id="72"/>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73" w:name="_Toc12963"/>
      <w:bookmarkStart w:id="74" w:name="_Toc30048"/>
      <w:r>
        <w:rPr>
          <w:rFonts w:hint="eastAsia" w:ascii="Times New Roman" w:hAnsi="Times New Roman" w:eastAsia="宋体" w:cs="Calibri"/>
          <w:kern w:val="2"/>
          <w:sz w:val="21"/>
          <w:szCs w:val="21"/>
          <w:lang w:val="en-US" w:eastAsia="zh-CN" w:bidi="ar-SA"/>
        </w:rPr>
        <w:t>预处理后，可再次使用无损检测方法对预处理位置进行探伤，确保不存在影响性能和后续工艺的缺陷。</w:t>
      </w:r>
      <w:bookmarkEnd w:id="73"/>
      <w:bookmarkEnd w:id="74"/>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75" w:name="_Toc1426"/>
      <w:bookmarkStart w:id="76" w:name="_Toc25189"/>
      <w:r>
        <w:rPr>
          <w:rFonts w:hint="eastAsia" w:ascii="Times New Roman" w:hAnsi="Times New Roman" w:eastAsia="宋体" w:cs="Calibri"/>
          <w:kern w:val="2"/>
          <w:sz w:val="21"/>
          <w:szCs w:val="21"/>
          <w:lang w:val="en-US" w:eastAsia="zh-CN" w:bidi="ar-SA"/>
        </w:rPr>
        <w:t>根据待修复位置和修复设备，考虑修复操作条件，安装固定待修复轴类制件。</w:t>
      </w:r>
      <w:bookmarkEnd w:id="75"/>
      <w:bookmarkEnd w:id="76"/>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77" w:name="_Toc21601"/>
      <w:bookmarkStart w:id="78" w:name="_Toc13035"/>
      <w:r>
        <w:rPr>
          <w:rFonts w:hint="eastAsia" w:ascii="Times New Roman" w:hAnsi="Times New Roman" w:eastAsia="宋体" w:cs="Calibri"/>
          <w:kern w:val="2"/>
          <w:sz w:val="21"/>
          <w:szCs w:val="21"/>
          <w:lang w:val="en-US" w:eastAsia="zh-CN" w:bidi="ar-SA"/>
        </w:rPr>
        <w:t>根据修复面三维模型和修复工艺设备进行修复路径规划，路径规划可采用手动编程或采用编程软件进行路径规划，并根据待修复轴类件安装固定位置进行程序调试。</w:t>
      </w:r>
      <w:bookmarkEnd w:id="77"/>
      <w:bookmarkEnd w:id="78"/>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79" w:name="_Toc330"/>
      <w:bookmarkStart w:id="80" w:name="_Toc23116"/>
      <w:r>
        <w:rPr>
          <w:rFonts w:hint="eastAsia" w:ascii="Times New Roman" w:hAnsi="Times New Roman" w:eastAsia="宋体" w:cs="Calibri"/>
          <w:kern w:val="2"/>
          <w:sz w:val="21"/>
          <w:szCs w:val="21"/>
          <w:lang w:val="en-US" w:eastAsia="zh-CN" w:bidi="ar-SA"/>
        </w:rPr>
        <w:t>采用化学清洗、机械打磨等方法清洁修复面，不得有锈迹或油污、水等杂质残留，清洁后修复面需在24小时内修复。</w:t>
      </w:r>
      <w:bookmarkEnd w:id="79"/>
      <w:bookmarkEnd w:id="80"/>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rPr>
      </w:pPr>
      <w:bookmarkStart w:id="81" w:name="_Toc7680"/>
      <w:bookmarkStart w:id="82" w:name="_Toc14911"/>
      <w:r>
        <w:rPr>
          <w:rFonts w:hint="eastAsia" w:ascii="Times New Roman" w:hAnsi="Times New Roman" w:eastAsia="宋体" w:cs="Calibri"/>
          <w:kern w:val="2"/>
          <w:sz w:val="21"/>
          <w:szCs w:val="21"/>
          <w:lang w:val="en-US" w:eastAsia="zh-CN" w:bidi="ar-SA"/>
        </w:rPr>
        <w:t>根据修复工艺要求，必要时，对所需修复材料进行预热、烘干等预处理</w:t>
      </w:r>
      <w:r>
        <w:rPr>
          <w:rFonts w:hint="eastAsia" w:eastAsia="宋体" w:cs="Calibri"/>
          <w:kern w:val="2"/>
          <w:sz w:val="21"/>
          <w:szCs w:val="21"/>
          <w:lang w:val="en-US" w:eastAsia="zh-CN" w:bidi="ar-SA"/>
        </w:rPr>
        <w:t>。</w:t>
      </w:r>
      <w:bookmarkEnd w:id="81"/>
      <w:bookmarkEnd w:id="82"/>
    </w:p>
    <w:p>
      <w:pPr>
        <w:pStyle w:val="39"/>
        <w:rPr>
          <w:rFonts w:hint="eastAsia"/>
        </w:rPr>
      </w:pPr>
      <w:bookmarkStart w:id="83" w:name="_Toc20284"/>
      <w:bookmarkStart w:id="84" w:name="_Toc30035"/>
      <w:r>
        <w:rPr>
          <w:rFonts w:hint="eastAsia"/>
        </w:rPr>
        <w:t>修复</w:t>
      </w:r>
      <w:bookmarkEnd w:id="83"/>
      <w:bookmarkEnd w:id="84"/>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85" w:name="_Toc4190"/>
      <w:bookmarkStart w:id="86" w:name="_Toc23482"/>
      <w:r>
        <w:rPr>
          <w:rFonts w:hint="eastAsia" w:ascii="Times New Roman" w:hAnsi="Times New Roman" w:eastAsia="宋体" w:cs="Calibri"/>
          <w:kern w:val="2"/>
          <w:sz w:val="21"/>
          <w:szCs w:val="21"/>
          <w:lang w:val="en-US" w:eastAsia="zh-CN" w:bidi="ar-SA"/>
        </w:rPr>
        <w:t>按照已制定的修复方案与修复工艺，进行修复，并填写修复记录。</w:t>
      </w:r>
      <w:bookmarkEnd w:id="85"/>
      <w:bookmarkEnd w:id="86"/>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87" w:name="_Toc19880"/>
      <w:bookmarkStart w:id="88" w:name="_Toc10320"/>
      <w:r>
        <w:rPr>
          <w:rFonts w:hint="eastAsia" w:ascii="Times New Roman" w:hAnsi="Times New Roman" w:eastAsia="宋体" w:cs="Calibri"/>
          <w:kern w:val="2"/>
          <w:sz w:val="21"/>
          <w:szCs w:val="21"/>
          <w:lang w:val="en-US" w:eastAsia="zh-CN" w:bidi="ar-SA"/>
        </w:rPr>
        <w:t>常用修复技术包括激光熔覆技术、等离子熔覆技术、喷涂技术等。不同损伤类型下修复原则见附录B。</w:t>
      </w:r>
      <w:bookmarkEnd w:id="87"/>
      <w:bookmarkEnd w:id="88"/>
    </w:p>
    <w:p>
      <w:pPr>
        <w:pStyle w:val="39"/>
        <w:rPr>
          <w:rFonts w:hint="eastAsia"/>
          <w:lang w:val="en-US" w:eastAsia="zh-CN"/>
        </w:rPr>
      </w:pPr>
      <w:bookmarkStart w:id="89" w:name="_Toc22064"/>
      <w:bookmarkStart w:id="90" w:name="_Toc12062"/>
      <w:r>
        <w:rPr>
          <w:rFonts w:hint="eastAsia"/>
          <w:lang w:val="en-US" w:eastAsia="zh-CN"/>
        </w:rPr>
        <w:t>修复后加工</w:t>
      </w:r>
      <w:bookmarkEnd w:id="89"/>
      <w:bookmarkEnd w:id="90"/>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91" w:name="_Toc29717"/>
      <w:bookmarkStart w:id="92" w:name="_Toc20785"/>
      <w:r>
        <w:rPr>
          <w:rFonts w:hint="eastAsia" w:ascii="Times New Roman" w:hAnsi="Times New Roman" w:eastAsia="宋体" w:cs="Calibri"/>
          <w:kern w:val="2"/>
          <w:sz w:val="21"/>
          <w:szCs w:val="21"/>
          <w:lang w:val="en-US" w:eastAsia="zh-CN" w:bidi="ar-SA"/>
        </w:rPr>
        <w:t>修复后应根据轴类件的设计要求与使用要求，建议进行热处理，并利用表面加工去除多余修复材料。</w:t>
      </w:r>
      <w:bookmarkEnd w:id="91"/>
      <w:bookmarkEnd w:id="92"/>
    </w:p>
    <w:p>
      <w:pPr>
        <w:pStyle w:val="42"/>
        <w:keepNext w:val="0"/>
        <w:keepLines w:val="0"/>
        <w:pageBreakBefore w:val="0"/>
        <w:widowControl w:val="0"/>
        <w:kinsoku/>
        <w:wordWrap/>
        <w:overflowPunct/>
        <w:topLinePunct w:val="0"/>
        <w:autoSpaceDE/>
        <w:autoSpaceDN/>
        <w:bidi w:val="0"/>
        <w:adjustRightInd w:val="0"/>
        <w:snapToGrid/>
        <w:ind w:left="0" w:leftChars="0" w:firstLine="360" w:firstLineChars="200"/>
        <w:textAlignment w:val="auto"/>
        <w:rPr>
          <w:rFonts w:hint="eastAsia" w:ascii="Times New Roman" w:hAnsi="Times New Roman" w:eastAsia="宋体" w:cs="黑体"/>
          <w:kern w:val="0"/>
          <w:sz w:val="18"/>
          <w:szCs w:val="18"/>
          <w:lang w:val="en-US" w:eastAsia="zh-CN" w:bidi="ar-SA"/>
        </w:rPr>
      </w:pPr>
      <w:r>
        <w:rPr>
          <w:rFonts w:hint="eastAsia" w:ascii="黑体" w:hAnsi="黑体" w:eastAsia="黑体" w:cs="黑体"/>
          <w:kern w:val="0"/>
          <w:sz w:val="18"/>
          <w:szCs w:val="18"/>
          <w:lang w:val="en-US" w:eastAsia="zh-CN" w:bidi="ar-SA"/>
        </w:rPr>
        <w:t>注：</w:t>
      </w:r>
      <w:r>
        <w:rPr>
          <w:rFonts w:hint="eastAsia" w:ascii="Times New Roman" w:hAnsi="Times New Roman" w:eastAsia="宋体" w:cs="Times New Roman"/>
          <w:kern w:val="0"/>
          <w:sz w:val="18"/>
          <w:szCs w:val="18"/>
          <w:lang w:val="en-US" w:eastAsia="zh-CN" w:bidi="ar-SA"/>
        </w:rPr>
        <w:t>热处理应以不对原始结构造成变形和热损伤为前提条件，热处理温度不高于奥氏体化温度，宜采用打磨、抛光、喷砂等后加工工艺恢复或改善其外观，以保证满足委托方使用要求</w:t>
      </w:r>
      <w:r>
        <w:rPr>
          <w:rFonts w:hint="eastAsia" w:ascii="Times New Roman" w:hAnsi="Times New Roman" w:eastAsia="宋体" w:cs="黑体"/>
          <w:kern w:val="0"/>
          <w:sz w:val="18"/>
          <w:szCs w:val="18"/>
          <w:lang w:val="en-US" w:eastAsia="zh-CN" w:bidi="ar-SA"/>
        </w:rPr>
        <w:t>。</w:t>
      </w:r>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93" w:name="_Toc18911"/>
      <w:bookmarkStart w:id="94" w:name="_Toc4853"/>
      <w:r>
        <w:rPr>
          <w:rFonts w:hint="eastAsia" w:ascii="Times New Roman" w:hAnsi="Times New Roman" w:eastAsia="宋体" w:cs="Calibri"/>
          <w:kern w:val="2"/>
          <w:sz w:val="21"/>
          <w:szCs w:val="21"/>
          <w:lang w:val="en-US" w:eastAsia="zh-CN" w:bidi="ar-SA"/>
        </w:rPr>
        <w:t>若加工后不满足委托方需求，应在委托方与承接方协商后确定返工方式及次数。</w:t>
      </w:r>
      <w:bookmarkEnd w:id="93"/>
      <w:bookmarkEnd w:id="94"/>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95" w:name="_Toc30786"/>
      <w:bookmarkStart w:id="96" w:name="_Toc13158"/>
      <w:r>
        <w:rPr>
          <w:rFonts w:hint="eastAsia" w:ascii="Times New Roman" w:hAnsi="Times New Roman" w:eastAsia="宋体" w:cs="Calibri"/>
          <w:kern w:val="2"/>
          <w:sz w:val="21"/>
          <w:szCs w:val="21"/>
          <w:lang w:val="en-US" w:eastAsia="zh-CN" w:bidi="ar-SA"/>
        </w:rPr>
        <w:t>修复后加工应避免加工变形、裂纹、划伤等缺陷或损伤的产生</w:t>
      </w:r>
      <w:r>
        <w:rPr>
          <w:rFonts w:hint="eastAsia" w:eastAsia="宋体" w:cs="Calibri"/>
          <w:kern w:val="2"/>
          <w:sz w:val="21"/>
          <w:szCs w:val="21"/>
          <w:lang w:val="en-US" w:eastAsia="zh-CN" w:bidi="ar-SA"/>
        </w:rPr>
        <w:t>。</w:t>
      </w:r>
      <w:bookmarkEnd w:id="95"/>
      <w:bookmarkEnd w:id="96"/>
    </w:p>
    <w:p>
      <w:pPr>
        <w:pStyle w:val="39"/>
        <w:rPr>
          <w:rFonts w:hint="eastAsia"/>
          <w:lang w:val="en-US" w:eastAsia="zh-CN"/>
        </w:rPr>
      </w:pPr>
      <w:bookmarkStart w:id="97" w:name="_Toc25409"/>
      <w:bookmarkStart w:id="98" w:name="_Toc18379"/>
      <w:r>
        <w:rPr>
          <w:rFonts w:hint="eastAsia"/>
          <w:lang w:val="en-US" w:eastAsia="zh-CN"/>
        </w:rPr>
        <w:t>质量检验</w:t>
      </w:r>
      <w:bookmarkEnd w:id="97"/>
      <w:bookmarkEnd w:id="98"/>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99" w:name="_Toc28541"/>
      <w:bookmarkStart w:id="100" w:name="_Toc29855"/>
      <w:r>
        <w:rPr>
          <w:rFonts w:hint="eastAsia" w:ascii="Times New Roman" w:hAnsi="Times New Roman" w:eastAsia="宋体" w:cs="Calibri"/>
          <w:kern w:val="2"/>
          <w:sz w:val="21"/>
          <w:szCs w:val="21"/>
          <w:lang w:val="en-US" w:eastAsia="zh-CN" w:bidi="ar-SA"/>
        </w:rPr>
        <w:t>应对修复后的轴类件进行必要的检验，检验方法和质量评定标准应符合相关技术文件。</w:t>
      </w:r>
      <w:bookmarkEnd w:id="99"/>
      <w:bookmarkEnd w:id="100"/>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01" w:name="_Toc5139"/>
      <w:bookmarkStart w:id="102" w:name="_Toc3717"/>
      <w:r>
        <w:rPr>
          <w:rFonts w:hint="eastAsia" w:ascii="Times New Roman" w:hAnsi="Times New Roman" w:eastAsia="宋体" w:cs="Calibri"/>
          <w:kern w:val="2"/>
          <w:sz w:val="21"/>
          <w:szCs w:val="21"/>
          <w:lang w:val="en-US" w:eastAsia="zh-CN" w:bidi="ar-SA"/>
        </w:rPr>
        <w:t>通过目视检测确保加工后的修复面不存孔洞、夹杂、划痕、磕碰、锈蚀、氧化、起皮、剥落等缺陷。</w:t>
      </w:r>
      <w:bookmarkEnd w:id="101"/>
      <w:bookmarkEnd w:id="102"/>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03" w:name="_Toc30628"/>
      <w:bookmarkStart w:id="104" w:name="_Toc1120"/>
      <w:r>
        <w:rPr>
          <w:rFonts w:hint="eastAsia" w:ascii="Times New Roman" w:hAnsi="Times New Roman" w:eastAsia="宋体" w:cs="Calibri"/>
          <w:kern w:val="2"/>
          <w:sz w:val="21"/>
          <w:szCs w:val="21"/>
          <w:lang w:val="en-US" w:eastAsia="zh-CN" w:bidi="ar-SA"/>
        </w:rPr>
        <w:t>对修复后的轴类件进行尺寸检测，修复位置尺寸精度应满足原型零件相关技术文件要求。</w:t>
      </w:r>
      <w:bookmarkEnd w:id="103"/>
      <w:bookmarkEnd w:id="104"/>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05" w:name="_Toc4455"/>
      <w:bookmarkStart w:id="106" w:name="_Toc10780"/>
      <w:r>
        <w:rPr>
          <w:rFonts w:hint="eastAsia" w:ascii="Times New Roman" w:hAnsi="Times New Roman" w:eastAsia="宋体" w:cs="Calibri"/>
          <w:kern w:val="2"/>
          <w:sz w:val="21"/>
          <w:szCs w:val="21"/>
          <w:lang w:val="en-US" w:eastAsia="zh-CN" w:bidi="ar-SA"/>
        </w:rPr>
        <w:t>使用磁粉探伤方法对修复位置进行检测，修复组织及其与原材料交界位置无裂纹。</w:t>
      </w:r>
      <w:bookmarkEnd w:id="105"/>
      <w:bookmarkEnd w:id="106"/>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07" w:name="_Toc3436"/>
      <w:bookmarkStart w:id="108" w:name="_Toc27954"/>
      <w:r>
        <w:rPr>
          <w:rFonts w:hint="eastAsia" w:ascii="Times New Roman" w:hAnsi="Times New Roman" w:eastAsia="宋体" w:cs="Calibri"/>
          <w:kern w:val="2"/>
          <w:sz w:val="21"/>
          <w:szCs w:val="21"/>
          <w:lang w:val="en-US" w:eastAsia="zh-CN" w:bidi="ar-SA"/>
        </w:rPr>
        <w:t>使用应变片或X光衍射方法对修复位置进行表面残余应力检测，需检测平行于修复轨迹于垂直于轨迹两个方向的应力，应力水平需满足原型零件相关技术文件要求。</w:t>
      </w:r>
      <w:bookmarkEnd w:id="107"/>
      <w:bookmarkEnd w:id="108"/>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09" w:name="_Toc14691"/>
      <w:bookmarkStart w:id="110" w:name="_Toc26755"/>
      <w:r>
        <w:rPr>
          <w:rFonts w:hint="eastAsia" w:ascii="Times New Roman" w:hAnsi="Times New Roman" w:eastAsia="宋体" w:cs="Calibri"/>
          <w:kern w:val="2"/>
          <w:sz w:val="21"/>
          <w:szCs w:val="21"/>
          <w:lang w:val="en-US" w:eastAsia="zh-CN" w:bidi="ar-SA"/>
        </w:rPr>
        <w:t>有特殊检测要求的零件，如压装受力曲线检测、动平衡检测等，可根据供需双方要求执行。</w:t>
      </w:r>
      <w:bookmarkEnd w:id="109"/>
      <w:bookmarkEnd w:id="110"/>
    </w:p>
    <w:p>
      <w:pPr>
        <w:pStyle w:val="39"/>
        <w:rPr>
          <w:rFonts w:hint="eastAsia"/>
          <w:lang w:val="en-US" w:eastAsia="zh-CN"/>
        </w:rPr>
      </w:pPr>
      <w:bookmarkStart w:id="111" w:name="_Toc8606"/>
      <w:bookmarkStart w:id="112" w:name="_Toc17541"/>
      <w:r>
        <w:rPr>
          <w:rFonts w:hint="eastAsia"/>
          <w:lang w:val="en-US" w:eastAsia="zh-CN"/>
        </w:rPr>
        <w:t>标识</w:t>
      </w:r>
      <w:bookmarkEnd w:id="111"/>
      <w:bookmarkEnd w:id="112"/>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13" w:name="_Toc32764"/>
      <w:bookmarkStart w:id="114" w:name="_Toc13197"/>
      <w:r>
        <w:rPr>
          <w:rFonts w:hint="eastAsia" w:ascii="Times New Roman" w:hAnsi="Times New Roman" w:eastAsia="宋体" w:cs="Calibri"/>
          <w:kern w:val="2"/>
          <w:sz w:val="21"/>
          <w:szCs w:val="21"/>
          <w:lang w:val="en-US" w:eastAsia="zh-CN" w:bidi="ar-SA"/>
        </w:rPr>
        <w:t>修复产品的标识除应符合国家相关法律法规和标准的规定外，还应在产品、产品说明书或产品包装物（如适用）的明显位置上有修复件标识。</w:t>
      </w:r>
      <w:bookmarkEnd w:id="113"/>
      <w:bookmarkEnd w:id="114"/>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15" w:name="_Toc19811"/>
      <w:bookmarkStart w:id="116" w:name="_Toc22142"/>
      <w:r>
        <w:rPr>
          <w:rFonts w:hint="eastAsia" w:ascii="Times New Roman" w:hAnsi="Times New Roman" w:eastAsia="宋体" w:cs="Calibri"/>
          <w:kern w:val="2"/>
          <w:sz w:val="21"/>
          <w:szCs w:val="21"/>
          <w:lang w:val="en-US" w:eastAsia="zh-CN" w:bidi="ar-SA"/>
        </w:rPr>
        <w:t>修复件标识应包括但不限于以下内容：</w:t>
      </w:r>
      <w:bookmarkEnd w:id="115"/>
      <w:bookmarkEnd w:id="116"/>
    </w:p>
    <w:p>
      <w:pPr>
        <w:pStyle w:val="69"/>
        <w:numPr>
          <w:ilvl w:val="0"/>
          <w:numId w:val="10"/>
        </w:numPr>
        <w:rPr>
          <w:rFonts w:hint="eastAsia"/>
          <w:lang w:val="en-US" w:eastAsia="zh-CN"/>
        </w:rPr>
      </w:pPr>
      <w:r>
        <w:rPr>
          <w:rFonts w:hint="eastAsia"/>
          <w:lang w:val="en-US" w:eastAsia="zh-CN"/>
        </w:rPr>
        <w:t>产品名称与型号；</w:t>
      </w:r>
    </w:p>
    <w:p>
      <w:pPr>
        <w:pStyle w:val="69"/>
        <w:numPr>
          <w:ilvl w:val="0"/>
          <w:numId w:val="10"/>
        </w:numPr>
        <w:rPr>
          <w:rFonts w:hint="eastAsia"/>
          <w:lang w:val="en-US" w:eastAsia="zh-CN"/>
        </w:rPr>
      </w:pPr>
      <w:r>
        <w:rPr>
          <w:rFonts w:hint="eastAsia"/>
          <w:lang w:val="en-US" w:eastAsia="zh-CN"/>
        </w:rPr>
        <w:t>修复厂商名称；</w:t>
      </w:r>
    </w:p>
    <w:p>
      <w:pPr>
        <w:pStyle w:val="69"/>
        <w:numPr>
          <w:ilvl w:val="0"/>
          <w:numId w:val="10"/>
        </w:numPr>
        <w:rPr>
          <w:rFonts w:hint="eastAsia"/>
          <w:lang w:val="en-US" w:eastAsia="zh-CN"/>
        </w:rPr>
      </w:pPr>
      <w:r>
        <w:rPr>
          <w:rFonts w:hint="eastAsia"/>
          <w:lang w:val="en-US" w:eastAsia="zh-CN"/>
        </w:rPr>
        <w:t>修复方法与修复位置；</w:t>
      </w:r>
    </w:p>
    <w:p>
      <w:pPr>
        <w:pStyle w:val="69"/>
        <w:numPr>
          <w:ilvl w:val="0"/>
          <w:numId w:val="10"/>
        </w:numPr>
        <w:rPr>
          <w:rFonts w:hint="eastAsia"/>
          <w:lang w:val="en-US" w:eastAsia="zh-CN"/>
        </w:rPr>
      </w:pPr>
      <w:r>
        <w:rPr>
          <w:rFonts w:hint="eastAsia"/>
          <w:lang w:val="en-US" w:eastAsia="zh-CN"/>
        </w:rPr>
        <w:t>修复日期。</w:t>
      </w:r>
    </w:p>
    <w:p>
      <w:pPr>
        <w:pStyle w:val="39"/>
        <w:rPr>
          <w:rFonts w:hint="eastAsia"/>
          <w:lang w:val="en-US" w:eastAsia="zh-CN"/>
        </w:rPr>
      </w:pPr>
      <w:bookmarkStart w:id="117" w:name="_Toc25242"/>
      <w:bookmarkStart w:id="118" w:name="_Toc29180"/>
      <w:r>
        <w:rPr>
          <w:rFonts w:hint="eastAsia"/>
          <w:lang w:val="en-US" w:eastAsia="zh-CN"/>
        </w:rPr>
        <w:t>包装储存运输</w:t>
      </w:r>
      <w:bookmarkEnd w:id="117"/>
      <w:bookmarkEnd w:id="118"/>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19" w:name="_Toc17887"/>
      <w:bookmarkStart w:id="120" w:name="_Toc21825"/>
      <w:r>
        <w:rPr>
          <w:rFonts w:hint="eastAsia" w:ascii="Times New Roman" w:hAnsi="Times New Roman" w:eastAsia="宋体" w:cs="Calibri"/>
          <w:kern w:val="2"/>
          <w:sz w:val="21"/>
          <w:szCs w:val="21"/>
          <w:lang w:val="en-US" w:eastAsia="zh-CN" w:bidi="ar-SA"/>
        </w:rPr>
        <w:t>修复后的轴类件包装前应再次进行清洗，并做防锈处理。</w:t>
      </w:r>
      <w:bookmarkEnd w:id="119"/>
      <w:bookmarkEnd w:id="120"/>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21" w:name="_Toc8645"/>
      <w:bookmarkStart w:id="122" w:name="_Toc554"/>
      <w:r>
        <w:rPr>
          <w:rFonts w:hint="eastAsia" w:ascii="Times New Roman" w:hAnsi="Times New Roman" w:eastAsia="宋体" w:cs="Calibri"/>
          <w:kern w:val="2"/>
          <w:sz w:val="21"/>
          <w:szCs w:val="21"/>
          <w:lang w:val="en-US" w:eastAsia="zh-CN" w:bidi="ar-SA"/>
        </w:rPr>
        <w:t>修复轴类件应存放于干燥通风处，修复后的轴类件应放置于支架上，防止损伤和变形。</w:t>
      </w:r>
      <w:bookmarkEnd w:id="121"/>
      <w:bookmarkEnd w:id="122"/>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23" w:name="_Toc29091"/>
      <w:bookmarkStart w:id="124" w:name="_Toc20340"/>
      <w:r>
        <w:rPr>
          <w:rFonts w:hint="eastAsia" w:ascii="Times New Roman" w:hAnsi="Times New Roman" w:eastAsia="宋体" w:cs="Calibri"/>
          <w:kern w:val="2"/>
          <w:sz w:val="21"/>
          <w:szCs w:val="21"/>
          <w:lang w:val="en-US" w:eastAsia="zh-CN" w:bidi="ar-SA"/>
        </w:rPr>
        <w:t>运输过程中，应采取防潮防碰撞措施。</w:t>
      </w:r>
      <w:bookmarkEnd w:id="123"/>
      <w:bookmarkEnd w:id="124"/>
    </w:p>
    <w:p>
      <w:pPr>
        <w:pStyle w:val="39"/>
        <w:rPr>
          <w:rFonts w:hint="eastAsia"/>
          <w:lang w:val="en-US" w:eastAsia="zh-CN"/>
        </w:rPr>
      </w:pPr>
      <w:bookmarkStart w:id="125" w:name="_Toc14665"/>
      <w:bookmarkStart w:id="126" w:name="_Toc8945"/>
      <w:r>
        <w:rPr>
          <w:rFonts w:hint="eastAsia"/>
          <w:lang w:val="en-US" w:eastAsia="zh-CN"/>
        </w:rPr>
        <w:t>验收</w:t>
      </w:r>
      <w:bookmarkEnd w:id="125"/>
      <w:bookmarkEnd w:id="126"/>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27" w:name="_Toc22213"/>
      <w:bookmarkStart w:id="128" w:name="_Toc4122"/>
      <w:r>
        <w:rPr>
          <w:rFonts w:hint="eastAsia" w:ascii="Times New Roman" w:hAnsi="Times New Roman" w:eastAsia="宋体" w:cs="Calibri"/>
          <w:kern w:val="2"/>
          <w:sz w:val="21"/>
          <w:szCs w:val="21"/>
          <w:lang w:val="en-US" w:eastAsia="zh-CN" w:bidi="ar-SA"/>
        </w:rPr>
        <w:t>修复后的轨道交通装备轴类件应按照产品标准的相关规定进行验收。</w:t>
      </w:r>
      <w:bookmarkEnd w:id="127"/>
      <w:bookmarkEnd w:id="128"/>
    </w:p>
    <w:p>
      <w:pPr>
        <w:pStyle w:val="5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Times New Roman" w:hAnsi="Times New Roman" w:eastAsia="宋体" w:cs="Calibri"/>
          <w:kern w:val="2"/>
          <w:sz w:val="21"/>
          <w:szCs w:val="21"/>
          <w:lang w:val="en-US" w:eastAsia="zh-CN" w:bidi="ar-SA"/>
        </w:rPr>
      </w:pPr>
      <w:bookmarkStart w:id="129" w:name="_Toc4727"/>
      <w:bookmarkStart w:id="130" w:name="_Toc1200"/>
      <w:r>
        <w:rPr>
          <w:rFonts w:hint="eastAsia" w:ascii="Times New Roman" w:hAnsi="Times New Roman" w:eastAsia="宋体" w:cs="Calibri"/>
          <w:kern w:val="2"/>
          <w:sz w:val="21"/>
          <w:szCs w:val="21"/>
          <w:lang w:val="en-US" w:eastAsia="zh-CN" w:bidi="ar-SA"/>
        </w:rPr>
        <w:t>有特殊验收要求的零件，可根据供需双方要求执行。</w:t>
      </w:r>
      <w:bookmarkEnd w:id="129"/>
      <w:bookmarkEnd w:id="130"/>
    </w:p>
    <w:p>
      <w:pPr>
        <w:pStyle w:val="42"/>
        <w:rPr>
          <w:rFonts w:hint="eastAsia" w:ascii="Times New Roman" w:hAnsi="Times New Roman" w:eastAsia="宋体" w:cs="Calibri"/>
          <w:kern w:val="2"/>
          <w:sz w:val="21"/>
          <w:szCs w:val="21"/>
          <w:lang w:val="en-US" w:eastAsia="zh-CN" w:bidi="ar-SA"/>
        </w:rPr>
      </w:pPr>
    </w:p>
    <w:p>
      <w:pPr>
        <w:pStyle w:val="42"/>
        <w:ind w:firstLine="360"/>
        <w:rPr>
          <w:sz w:val="18"/>
        </w:rPr>
      </w:pPr>
    </w:p>
    <w:p>
      <w:pPr>
        <w:pStyle w:val="42"/>
        <w:sectPr>
          <w:footerReference r:id="rId20" w:type="first"/>
          <w:headerReference r:id="rId16" w:type="default"/>
          <w:footerReference r:id="rId18" w:type="default"/>
          <w:headerReference r:id="rId17" w:type="even"/>
          <w:footerReference r:id="rId19" w:type="even"/>
          <w:pgSz w:w="11906" w:h="16838"/>
          <w:pgMar w:top="1418" w:right="1418" w:bottom="1134" w:left="1418" w:header="1417" w:footer="1134" w:gutter="0"/>
          <w:pgNumType w:start="1"/>
          <w:cols w:space="425" w:num="1"/>
          <w:titlePg/>
          <w:docGrid w:type="lines" w:linePitch="312" w:charSpace="0"/>
        </w:sectPr>
      </w:pPr>
    </w:p>
    <w:p>
      <w:pPr>
        <w:pStyle w:val="88"/>
      </w:pPr>
      <w:bookmarkStart w:id="131" w:name="_Toc3742"/>
      <w:bookmarkStart w:id="132" w:name="_Toc23023"/>
      <w:r>
        <w:br w:type="textWrapping"/>
      </w:r>
      <w:bookmarkStart w:id="133" w:name="_Toc525119175"/>
      <w:bookmarkStart w:id="134" w:name="_Toc525303008"/>
      <w:bookmarkStart w:id="135" w:name="_Toc1651907"/>
      <w:bookmarkStart w:id="136" w:name="_Toc524441558"/>
      <w:r>
        <w:rPr>
          <w:rFonts w:hint="eastAsia"/>
        </w:rPr>
        <w:t>（资料性附录）</w:t>
      </w:r>
      <w:r>
        <w:br w:type="textWrapping"/>
      </w:r>
      <w:bookmarkEnd w:id="133"/>
      <w:bookmarkEnd w:id="134"/>
      <w:bookmarkEnd w:id="135"/>
      <w:bookmarkEnd w:id="136"/>
      <w:r>
        <w:rPr>
          <w:rFonts w:hint="eastAsia"/>
        </w:rPr>
        <w:t>轨道交通装备轴类修复常用修复设备及选取原则</w:t>
      </w:r>
      <w:bookmarkEnd w:id="131"/>
      <w:bookmarkEnd w:id="132"/>
    </w:p>
    <w:p>
      <w:pPr>
        <w:pStyle w:val="89"/>
        <w:numPr>
          <w:ilvl w:val="1"/>
          <w:numId w:val="0"/>
        </w:numPr>
        <w:shd w:val="clear" w:color="FFFFFF" w:fill="FFFFFF"/>
        <w:tabs>
          <w:tab w:val="left" w:pos="360"/>
          <w:tab w:val="left" w:pos="6405"/>
        </w:tabs>
        <w:spacing w:before="312" w:after="312"/>
        <w:ind w:leftChars="0"/>
        <w:rPr>
          <w:rFonts w:hint="eastAsia" w:ascii="Times New Roman" w:hAnsi="Times New Roman" w:eastAsia="宋体" w:cs="Calibri"/>
          <w:kern w:val="2"/>
          <w:sz w:val="21"/>
          <w:szCs w:val="21"/>
          <w:lang w:val="en-US" w:eastAsia="zh-CN" w:bidi="ar"/>
        </w:rPr>
      </w:pPr>
      <w:bookmarkStart w:id="137" w:name="_Toc2410"/>
      <w:bookmarkStart w:id="138" w:name="_Toc19362"/>
      <w:r>
        <w:rPr>
          <w:rFonts w:hint="eastAsia" w:ascii="Times New Roman" w:hAnsi="Times New Roman" w:eastAsia="宋体" w:cs="Calibri"/>
          <w:kern w:val="2"/>
          <w:sz w:val="21"/>
          <w:szCs w:val="21"/>
          <w:lang w:val="en-US" w:eastAsia="zh-CN" w:bidi="ar"/>
        </w:rPr>
        <w:t>轨道交通装备轴类修复常用修复设备及选取原则如表A.1所示。</w:t>
      </w:r>
      <w:bookmarkEnd w:id="137"/>
      <w:bookmarkEnd w:id="138"/>
    </w:p>
    <w:p>
      <w:pPr>
        <w:pStyle w:val="89"/>
        <w:shd w:val="clear" w:color="FFFFFF" w:fill="FFFFFF"/>
        <w:tabs>
          <w:tab w:val="left" w:pos="360"/>
          <w:tab w:val="left" w:pos="6405"/>
        </w:tabs>
        <w:spacing w:before="312" w:after="312"/>
        <w:jc w:val="center"/>
        <w:rPr>
          <w:rFonts w:hint="eastAsia"/>
          <w:lang w:val="en-US" w:eastAsia="zh-CN"/>
        </w:rPr>
      </w:pPr>
      <w:bookmarkStart w:id="139" w:name="_Toc5236"/>
      <w:bookmarkStart w:id="140" w:name="_Toc17126"/>
      <w:r>
        <w:rPr>
          <w:rFonts w:hint="eastAsia"/>
          <w:lang w:val="en-US" w:eastAsia="zh-CN"/>
        </w:rPr>
        <w:t>轨道交通装备</w:t>
      </w:r>
      <w:bookmarkEnd w:id="139"/>
      <w:r>
        <w:rPr>
          <w:rFonts w:hint="eastAsia"/>
          <w:lang w:val="en-US" w:eastAsia="zh-CN"/>
        </w:rPr>
        <w:t>轴类修复常用修复设备及选取原则</w:t>
      </w:r>
      <w:bookmarkEnd w:id="140"/>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2400"/>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pStyle w:val="42"/>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序号</w:t>
            </w:r>
          </w:p>
        </w:tc>
        <w:tc>
          <w:tcPr>
            <w:tcW w:w="2400" w:type="dxa"/>
            <w:vAlign w:val="center"/>
          </w:tcPr>
          <w:p>
            <w:pPr>
              <w:pStyle w:val="42"/>
              <w:ind w:left="0" w:leftChars="0" w:firstLine="0" w:firstLineChars="0"/>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设备名称</w:t>
            </w:r>
          </w:p>
        </w:tc>
        <w:tc>
          <w:tcPr>
            <w:tcW w:w="5945" w:type="dxa"/>
            <w:vAlign w:val="center"/>
          </w:tcPr>
          <w:p>
            <w:pPr>
              <w:pStyle w:val="42"/>
              <w:ind w:left="0" w:leftChars="0" w:firstLine="0" w:firstLineChars="0"/>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选取原则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pStyle w:val="42"/>
              <w:numPr>
                <w:ilvl w:val="0"/>
                <w:numId w:val="11"/>
              </w:numPr>
              <w:ind w:left="0" w:leftChars="0" w:firstLine="170" w:firstLineChars="0"/>
              <w:jc w:val="center"/>
              <w:rPr>
                <w:rFonts w:hint="eastAsia" w:ascii="宋体" w:hAnsi="宋体" w:cs="宋体"/>
                <w:sz w:val="18"/>
                <w:szCs w:val="18"/>
                <w:vertAlign w:val="baseline"/>
                <w:lang w:val="en-US" w:eastAsia="zh-CN"/>
              </w:rPr>
            </w:pPr>
          </w:p>
        </w:tc>
        <w:tc>
          <w:tcPr>
            <w:tcW w:w="2400" w:type="dxa"/>
            <w:vAlign w:val="center"/>
          </w:tcPr>
          <w:p>
            <w:pPr>
              <w:pStyle w:val="42"/>
              <w:ind w:left="0" w:leftChars="0" w:firstLine="0" w:firstLineChars="0"/>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激光熔覆设备</w:t>
            </w:r>
          </w:p>
        </w:tc>
        <w:tc>
          <w:tcPr>
            <w:tcW w:w="5945" w:type="dxa"/>
            <w:vAlign w:val="center"/>
          </w:tcPr>
          <w:p>
            <w:pPr>
              <w:pStyle w:val="42"/>
              <w:ind w:left="0" w:leftChars="0" w:firstLine="0" w:firstLineChars="0"/>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适用于需冶金结合、易受热变形的高价值轴类件，宜进行热处理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pStyle w:val="42"/>
              <w:numPr>
                <w:ilvl w:val="0"/>
                <w:numId w:val="11"/>
              </w:numPr>
              <w:ind w:left="0" w:leftChars="0" w:firstLine="170" w:firstLineChars="0"/>
              <w:jc w:val="center"/>
              <w:rPr>
                <w:rFonts w:hint="eastAsia" w:ascii="宋体" w:hAnsi="宋体" w:cs="宋体"/>
                <w:sz w:val="18"/>
                <w:szCs w:val="18"/>
                <w:vertAlign w:val="baseline"/>
                <w:lang w:val="en-US" w:eastAsia="zh-CN"/>
              </w:rPr>
            </w:pPr>
          </w:p>
        </w:tc>
        <w:tc>
          <w:tcPr>
            <w:tcW w:w="2400" w:type="dxa"/>
            <w:vAlign w:val="center"/>
          </w:tcPr>
          <w:p>
            <w:pPr>
              <w:pStyle w:val="42"/>
              <w:ind w:left="0" w:leftChars="0" w:firstLine="0" w:firstLineChars="0"/>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等离子熔覆设备</w:t>
            </w:r>
          </w:p>
        </w:tc>
        <w:tc>
          <w:tcPr>
            <w:tcW w:w="5945" w:type="dxa"/>
            <w:vAlign w:val="center"/>
          </w:tcPr>
          <w:p>
            <w:pPr>
              <w:pStyle w:val="42"/>
              <w:ind w:left="0" w:leftChars="0" w:firstLine="0" w:firstLineChars="0"/>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适用于需冶金结合、损伤尺寸较大的轴类件，修复效率较高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pStyle w:val="42"/>
              <w:numPr>
                <w:ilvl w:val="0"/>
                <w:numId w:val="11"/>
              </w:numPr>
              <w:ind w:left="0" w:leftChars="0" w:firstLine="170" w:firstLineChars="0"/>
              <w:jc w:val="center"/>
              <w:rPr>
                <w:rFonts w:hint="eastAsia" w:ascii="宋体" w:hAnsi="宋体" w:cs="宋体"/>
                <w:sz w:val="18"/>
                <w:szCs w:val="18"/>
                <w:vertAlign w:val="baseline"/>
                <w:lang w:val="en-US" w:eastAsia="zh-CN"/>
              </w:rPr>
            </w:pPr>
          </w:p>
        </w:tc>
        <w:tc>
          <w:tcPr>
            <w:tcW w:w="2400" w:type="dxa"/>
            <w:vAlign w:val="center"/>
          </w:tcPr>
          <w:p>
            <w:pPr>
              <w:pStyle w:val="42"/>
              <w:ind w:left="0" w:leftChars="0" w:firstLine="0" w:firstLineChars="0"/>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热喷涂设备</w:t>
            </w:r>
          </w:p>
        </w:tc>
        <w:tc>
          <w:tcPr>
            <w:tcW w:w="5945" w:type="dxa"/>
            <w:vAlign w:val="center"/>
          </w:tcPr>
          <w:p>
            <w:pPr>
              <w:pStyle w:val="42"/>
              <w:ind w:left="0" w:leftChars="0" w:firstLine="0" w:firstLineChars="0"/>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适用于机械-冶金结合、损伤尺寸较小的轴类件，涂层材质一般为金属、合金及金属陶瓷，拥有高修复效率和低修复成本</w:t>
            </w:r>
          </w:p>
        </w:tc>
      </w:tr>
    </w:tbl>
    <w:p>
      <w:pPr>
        <w:pStyle w:val="42"/>
      </w:pPr>
    </w:p>
    <w:p>
      <w:pPr>
        <w:pStyle w:val="42"/>
        <w:sectPr>
          <w:pgSz w:w="11906" w:h="16838"/>
          <w:pgMar w:top="1418" w:right="1418" w:bottom="1134" w:left="1418" w:header="1417" w:footer="1134" w:gutter="0"/>
          <w:cols w:space="425" w:num="1"/>
          <w:titlePg/>
          <w:docGrid w:type="lines" w:linePitch="312" w:charSpace="0"/>
        </w:sectPr>
      </w:pPr>
    </w:p>
    <w:p>
      <w:pPr>
        <w:pStyle w:val="88"/>
      </w:pPr>
      <w:bookmarkStart w:id="141" w:name="_Toc25977"/>
      <w:bookmarkStart w:id="142" w:name="_Toc21999"/>
      <w:r>
        <w:br w:type="textWrapping"/>
      </w:r>
      <w:bookmarkStart w:id="143" w:name="_Toc1651909"/>
      <w:r>
        <w:t>(</w:t>
      </w:r>
      <w:r>
        <w:rPr>
          <w:rFonts w:hint="eastAsia"/>
        </w:rPr>
        <w:t>资料性附录</w:t>
      </w:r>
      <w:r>
        <w:t>)</w:t>
      </w:r>
      <w:r>
        <w:br w:type="textWrapping"/>
      </w:r>
      <w:bookmarkEnd w:id="143"/>
      <w:r>
        <w:rPr>
          <w:rFonts w:hint="eastAsia"/>
        </w:rPr>
        <w:t>不同损伤类型下修复原则</w:t>
      </w:r>
      <w:bookmarkEnd w:id="141"/>
      <w:bookmarkEnd w:id="142"/>
    </w:p>
    <w:p>
      <w:pPr>
        <w:pStyle w:val="89"/>
        <w:shd w:val="clear" w:color="FFFFFF" w:fill="FFFFFF"/>
        <w:tabs>
          <w:tab w:val="left" w:pos="360"/>
          <w:tab w:val="left" w:pos="6405"/>
        </w:tabs>
        <w:spacing w:before="312" w:after="312"/>
        <w:rPr>
          <w:rFonts w:hint="eastAsia"/>
        </w:rPr>
      </w:pPr>
      <w:bookmarkStart w:id="144" w:name="_Toc11947"/>
      <w:bookmarkStart w:id="145" w:name="_Toc22665"/>
      <w:r>
        <w:rPr>
          <w:rFonts w:hint="eastAsia"/>
        </w:rPr>
        <w:t>磨损失效和体积损伤</w:t>
      </w:r>
      <w:bookmarkEnd w:id="144"/>
      <w:bookmarkEnd w:id="145"/>
    </w:p>
    <w:p>
      <w:pPr>
        <w:pStyle w:val="42"/>
        <w:rPr>
          <w:rFonts w:hint="eastAsia" w:cs="Times New Roman"/>
        </w:rPr>
      </w:pPr>
      <w:r>
        <w:rPr>
          <w:rFonts w:hint="eastAsia" w:cs="Times New Roman"/>
        </w:rPr>
        <w:t>根据失效机制对修复层材料性能的要求，设计和选择修复材料及与其相适应的表面修复技术,修复层宜具有足够的硬度、韧性和结合强度</w:t>
      </w:r>
    </w:p>
    <w:p>
      <w:pPr>
        <w:pStyle w:val="89"/>
        <w:shd w:val="clear" w:color="FFFFFF" w:fill="FFFFFF"/>
        <w:tabs>
          <w:tab w:val="left" w:pos="360"/>
          <w:tab w:val="left" w:pos="6405"/>
        </w:tabs>
        <w:spacing w:before="312" w:after="312"/>
        <w:rPr>
          <w:rFonts w:hint="eastAsia"/>
        </w:rPr>
      </w:pPr>
      <w:bookmarkStart w:id="146" w:name="_Toc9795"/>
      <w:bookmarkStart w:id="147" w:name="_Toc27405"/>
      <w:r>
        <w:rPr>
          <w:rFonts w:hint="eastAsia"/>
        </w:rPr>
        <w:t>腐蚀失效</w:t>
      </w:r>
      <w:bookmarkEnd w:id="146"/>
      <w:bookmarkEnd w:id="147"/>
    </w:p>
    <w:p>
      <w:pPr>
        <w:pStyle w:val="42"/>
        <w:rPr>
          <w:rFonts w:hint="eastAsia" w:cs="Times New Roman"/>
        </w:rPr>
      </w:pPr>
      <w:r>
        <w:rPr>
          <w:rFonts w:hint="eastAsia" w:cs="Times New Roman"/>
        </w:rPr>
        <w:t xml:space="preserve">宜根据腐蚀介质的成分选择相应的修复技术和材料。并考虑以下因素： </w:t>
      </w:r>
    </w:p>
    <w:p>
      <w:pPr>
        <w:pStyle w:val="69"/>
        <w:numPr>
          <w:ilvl w:val="0"/>
          <w:numId w:val="12"/>
        </w:numPr>
        <w:rPr>
          <w:rFonts w:hint="eastAsia"/>
          <w:lang w:val="en-US" w:eastAsia="zh-CN"/>
        </w:rPr>
      </w:pPr>
      <w:r>
        <w:rPr>
          <w:rFonts w:hint="eastAsia"/>
          <w:lang w:val="en-US" w:eastAsia="zh-CN"/>
        </w:rPr>
        <w:t xml:space="preserve">优先选用单相结构的修复层； </w:t>
      </w:r>
    </w:p>
    <w:p>
      <w:pPr>
        <w:pStyle w:val="69"/>
        <w:numPr>
          <w:ilvl w:val="0"/>
          <w:numId w:val="12"/>
        </w:numPr>
        <w:rPr>
          <w:rFonts w:hint="eastAsia"/>
          <w:lang w:val="en-US" w:eastAsia="zh-CN"/>
        </w:rPr>
      </w:pPr>
      <w:r>
        <w:rPr>
          <w:rFonts w:hint="eastAsia"/>
          <w:lang w:val="en-US" w:eastAsia="zh-CN"/>
        </w:rPr>
        <w:t>在电解质存在的条件下，修复层宜具有比基体材料更低的电极电位，以便起到有效的牺牲阳极保护作用；</w:t>
      </w:r>
    </w:p>
    <w:p>
      <w:pPr>
        <w:pStyle w:val="69"/>
        <w:numPr>
          <w:ilvl w:val="0"/>
          <w:numId w:val="12"/>
        </w:numPr>
        <w:rPr>
          <w:rFonts w:hint="eastAsia"/>
          <w:lang w:val="en-US" w:eastAsia="zh-CN"/>
        </w:rPr>
      </w:pPr>
      <w:r>
        <w:rPr>
          <w:rFonts w:hint="eastAsia"/>
          <w:lang w:val="en-US" w:eastAsia="zh-CN"/>
        </w:rPr>
        <w:t>如果修复层有孔隙，宜进行必要的封孔处理。</w:t>
      </w:r>
    </w:p>
    <w:p>
      <w:pPr>
        <w:pStyle w:val="89"/>
        <w:shd w:val="clear" w:color="FFFFFF" w:fill="FFFFFF"/>
        <w:tabs>
          <w:tab w:val="left" w:pos="360"/>
          <w:tab w:val="left" w:pos="6405"/>
        </w:tabs>
        <w:spacing w:before="312" w:after="312"/>
        <w:rPr>
          <w:rFonts w:hint="eastAsia"/>
        </w:rPr>
      </w:pPr>
      <w:bookmarkStart w:id="148" w:name="_Toc28198"/>
      <w:bookmarkStart w:id="149" w:name="_Toc15419"/>
      <w:r>
        <w:rPr>
          <w:rFonts w:hint="eastAsia"/>
        </w:rPr>
        <w:t>高温失效</w:t>
      </w:r>
      <w:bookmarkEnd w:id="148"/>
      <w:bookmarkEnd w:id="149"/>
    </w:p>
    <w:p>
      <w:pPr>
        <w:pStyle w:val="42"/>
        <w:rPr>
          <w:rFonts w:hint="eastAsia" w:cs="Times New Roman"/>
        </w:rPr>
      </w:pPr>
      <w:r>
        <w:rPr>
          <w:rFonts w:hint="eastAsia" w:cs="Times New Roman"/>
        </w:rPr>
        <w:t>修复层材料宜具有较好的高温化学稳定性，在高温条件下不会发生分解、升华或有害的晶形转变，同时修复层宜具有较好的热疲劳性能或高温力学性能，与基体的线膨胀系数、导热性等具有良好的匹配性。</w:t>
      </w:r>
    </w:p>
    <w:p>
      <w:pPr>
        <w:pStyle w:val="89"/>
        <w:shd w:val="clear" w:color="FFFFFF" w:fill="FFFFFF"/>
        <w:tabs>
          <w:tab w:val="left" w:pos="360"/>
          <w:tab w:val="left" w:pos="6405"/>
        </w:tabs>
        <w:spacing w:before="312" w:after="312"/>
        <w:rPr>
          <w:rFonts w:hint="eastAsia"/>
        </w:rPr>
      </w:pPr>
      <w:bookmarkStart w:id="150" w:name="_Toc20972"/>
      <w:bookmarkStart w:id="151" w:name="_Toc26482"/>
      <w:r>
        <w:rPr>
          <w:rFonts w:hint="eastAsia"/>
        </w:rPr>
        <w:t>疲劳失效</w:t>
      </w:r>
      <w:bookmarkEnd w:id="150"/>
      <w:bookmarkEnd w:id="151"/>
    </w:p>
    <w:p>
      <w:pPr>
        <w:pStyle w:val="42"/>
        <w:rPr>
          <w:rFonts w:hint="eastAsia" w:cs="Times New Roman"/>
        </w:rPr>
      </w:pPr>
      <w:r>
        <w:rPr>
          <w:rFonts w:hint="eastAsia" w:cs="Times New Roman"/>
        </w:rPr>
        <w:t>修复前宜对待修复部位的表面和内部裂纹、应力集中等进行无损检测，同时宜进行剩余寿命评估，并在此基础上选择合适的表面修复技术。</w:t>
      </w:r>
    </w:p>
    <w:p>
      <w:pPr>
        <w:pStyle w:val="89"/>
        <w:shd w:val="clear" w:color="FFFFFF" w:fill="FFFFFF"/>
        <w:tabs>
          <w:tab w:val="left" w:pos="360"/>
          <w:tab w:val="left" w:pos="6405"/>
        </w:tabs>
        <w:spacing w:before="312" w:after="312"/>
        <w:rPr>
          <w:rFonts w:hint="eastAsia"/>
        </w:rPr>
      </w:pPr>
      <w:bookmarkStart w:id="152" w:name="_Toc24061"/>
      <w:bookmarkStart w:id="153" w:name="_Toc7859"/>
      <w:r>
        <w:rPr>
          <w:rFonts w:hint="eastAsia"/>
        </w:rPr>
        <w:t>断裂失效</w:t>
      </w:r>
      <w:bookmarkEnd w:id="152"/>
      <w:bookmarkEnd w:id="153"/>
    </w:p>
    <w:p>
      <w:pPr>
        <w:pStyle w:val="42"/>
        <w:rPr>
          <w:rFonts w:hint="eastAsia" w:eastAsia="宋体" w:cs="Times New Roman"/>
          <w:lang w:eastAsia="zh-CN"/>
        </w:rPr>
      </w:pPr>
      <w:r>
        <w:rPr>
          <w:rFonts w:hint="eastAsia" w:cs="Times New Roman"/>
        </w:rPr>
        <w:t>不建议进行修复</w:t>
      </w:r>
      <w:r>
        <w:rPr>
          <w:rFonts w:hint="eastAsia" w:cs="Times New Roman"/>
          <w:lang w:eastAsia="zh-CN"/>
        </w:rPr>
        <w:t>。</w:t>
      </w:r>
    </w:p>
    <w:p>
      <w:pPr>
        <w:pStyle w:val="42"/>
      </w:pPr>
    </w:p>
    <w:p>
      <w:pPr>
        <w:pStyle w:val="42"/>
        <w:ind w:firstLine="0" w:firstLineChars="0"/>
        <w:jc w:val="center"/>
      </w:pPr>
      <w:r>
        <w:rPr>
          <w:rFonts w:hint="eastAsia"/>
          <w:lang w:val="zh-CN"/>
        </w:rPr>
        <mc:AlternateContent>
          <mc:Choice Requires="wps">
            <w:drawing>
              <wp:inline distT="0" distB="0" distL="0" distR="0">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pStyle w:val="42"/>
      </w:pPr>
    </w:p>
    <w:p>
      <w:pPr>
        <w:spacing w:line="420" w:lineRule="exact"/>
        <w:ind w:firstLine="420"/>
        <w:rPr>
          <w:rFonts w:ascii="宋体"/>
          <w:sz w:val="24"/>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248285</wp:posOffset>
                </wp:positionV>
                <wp:extent cx="5372100" cy="0"/>
                <wp:effectExtent l="0" t="19050" r="38100" b="3810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ckThin">
                          <a:solidFill>
                            <a:srgbClr val="000000"/>
                          </a:solidFill>
                          <a:round/>
                        </a:ln>
                      </wps:spPr>
                      <wps:bodyPr/>
                    </wps:wsp>
                  </a:graphicData>
                </a:graphic>
              </wp:anchor>
            </w:drawing>
          </mc:Choice>
          <mc:Fallback>
            <w:pict>
              <v:line id="_x0000_s1026" o:spid="_x0000_s1026" o:spt="20" style="position:absolute;left:0pt;margin-left:0pt;margin-top:19.55pt;height:0pt;width:423pt;z-index:251661312;mso-width-relative:page;mso-height-relative:page;" filled="f" stroked="t" coordsize="21600,21600" o:gfxdata="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l03&#10;HNIAAAAGAQAADwAAAAAAAAABACAAAAAiAAAAZHJzL2Rvd25yZXYueG1sUEsBAhQAFAAAAAgAh07i&#10;QAkuhnrvAQAAvgMAAA4AAAAAAAAAAQAgAAAAIQEAAGRycy9lMm9Eb2MueG1sUEsFBgAAAAAGAAYA&#10;WQEAAIIFAAAAAA==&#10;">
                <v:fill on="f" focussize="0,0"/>
                <v:stroke weight="4.5pt" color="#000000" linestyle="thickThin" joinstyle="round"/>
                <v:imagedata o:title=""/>
                <o:lock v:ext="edit" aspectratio="f"/>
              </v:line>
            </w:pict>
          </mc:Fallback>
        </mc:AlternateContent>
      </w:r>
    </w:p>
    <w:p>
      <w:pPr>
        <w:spacing w:line="320" w:lineRule="exact"/>
        <w:rPr>
          <w:rFonts w:hint="default" w:ascii="黑体" w:eastAsia="黑体"/>
          <w:b/>
          <w:lang w:val="en-US" w:eastAsia="zh-CN"/>
        </w:rPr>
      </w:pPr>
      <w:r>
        <w:rPr>
          <w:rFonts w:ascii="黑体" w:eastAsia="黑体"/>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675005</wp:posOffset>
                </wp:positionV>
                <wp:extent cx="5372100" cy="0"/>
                <wp:effectExtent l="0" t="19050" r="38100" b="3810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ln>
                      </wps:spPr>
                      <wps:bodyPr/>
                    </wps:wsp>
                  </a:graphicData>
                </a:graphic>
              </wp:anchor>
            </w:drawing>
          </mc:Choice>
          <mc:Fallback>
            <w:pict>
              <v:line id="_x0000_s1026" o:spid="_x0000_s1026" o:spt="20" style="position:absolute;left:0pt;margin-left:0pt;margin-top:53.15pt;height:0pt;width:423pt;z-index:251662336;mso-width-relative:page;mso-height-relative:page;" filled="f" stroked="t" coordsize="21600,21600" o:gfxdata="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57K/1gAAAAgBAAAPAAAAAAAAAAEAIAAAACIAAABkcnMvZG93bnJldi54bWxQSwECFAAUAAAA&#10;CACHTuJAM01+AvABAAC+AwAADgAAAAAAAAABACAAAAAlAQAAZHJzL2Uyb0RvYy54bWxQSwUGAAAA&#10;AAYABgBZAQAAhwUAAAAA&#10;">
                <v:fill on="f" focussize="0,0"/>
                <v:stroke weight="4.5pt" color="#000000" linestyle="thinThick" joinstyle="round"/>
                <v:imagedata o:title=""/>
                <o:lock v:ext="edit" aspectratio="f"/>
              </v:line>
            </w:pict>
          </mc:Fallback>
        </mc:AlternateContent>
      </w:r>
      <w:r>
        <w:rPr>
          <w:rFonts w:ascii="黑体" w:eastAsia="黑体"/>
          <w:b/>
        </w:rPr>
        <w:t>ICS</w:t>
      </w:r>
      <w:r>
        <w:rPr>
          <w:rFonts w:hint="eastAsia" w:ascii="黑体" w:eastAsia="黑体"/>
          <w:b/>
        </w:rPr>
        <w:t>号</w:t>
      </w:r>
      <w:r>
        <w:rPr>
          <w:rFonts w:hint="eastAsia" w:ascii="黑体" w:eastAsia="黑体"/>
          <w:b/>
          <w:lang w:eastAsia="zh-CN"/>
        </w:rPr>
        <w:t>：</w:t>
      </w:r>
      <w:r>
        <w:rPr>
          <w:rFonts w:hint="eastAsia" w:ascii="黑体" w:eastAsia="黑体"/>
          <w:b/>
          <w:lang w:val="en-US" w:eastAsia="zh-CN"/>
        </w:rPr>
        <w:t>45.060.20</w:t>
      </w:r>
    </w:p>
    <w:p>
      <w:pPr>
        <w:spacing w:line="320" w:lineRule="exact"/>
        <w:rPr>
          <w:rFonts w:hint="default" w:ascii="黑体" w:eastAsia="黑体"/>
          <w:b/>
          <w:lang w:val="en-US" w:eastAsia="zh-CN"/>
        </w:rPr>
      </w:pPr>
      <w:r>
        <w:rPr>
          <w:rFonts w:hint="eastAsia" w:ascii="黑体" w:eastAsia="黑体"/>
          <w:b/>
        </w:rPr>
        <w:t>中国标准文献分类号</w:t>
      </w:r>
      <w:r>
        <w:rPr>
          <w:rFonts w:hint="eastAsia" w:ascii="黑体" w:eastAsia="黑体"/>
          <w:b/>
          <w:lang w:eastAsia="zh-CN"/>
        </w:rPr>
        <w:t>：</w:t>
      </w:r>
      <w:r>
        <w:rPr>
          <w:rFonts w:hint="eastAsia" w:ascii="黑体" w:eastAsia="黑体"/>
          <w:b/>
          <w:lang w:val="en-US" w:eastAsia="zh-CN"/>
        </w:rPr>
        <w:t>S 50</w:t>
      </w:r>
    </w:p>
    <w:p>
      <w:pPr>
        <w:spacing w:line="320" w:lineRule="exact"/>
        <w:outlineLvl w:val="0"/>
        <w:rPr>
          <w:rFonts w:hint="default" w:ascii="黑体" w:eastAsia="黑体"/>
          <w:lang w:val="en-US" w:eastAsia="zh-CN"/>
        </w:rPr>
      </w:pPr>
      <w:bookmarkStart w:id="154" w:name="_Toc3522"/>
      <w:bookmarkStart w:id="155" w:name="_Toc20145"/>
      <w:r>
        <w:rPr>
          <w:rFonts w:hint="eastAsia" w:ascii="黑体" w:eastAsia="黑体"/>
          <w:b/>
        </w:rPr>
        <w:t>关键词：</w:t>
      </w:r>
      <w:r>
        <w:rPr>
          <w:rFonts w:hint="eastAsia" w:ascii="黑体" w:eastAsia="黑体"/>
          <w:b/>
          <w:lang w:val="en-US" w:eastAsia="zh-CN"/>
        </w:rPr>
        <w:t>轨道交通装备</w:t>
      </w:r>
      <w:r>
        <w:rPr>
          <w:rFonts w:hint="eastAsia" w:ascii="黑体" w:eastAsia="黑体"/>
          <w:b/>
        </w:rPr>
        <w:t>、</w:t>
      </w:r>
      <w:bookmarkEnd w:id="154"/>
      <w:r>
        <w:rPr>
          <w:rFonts w:hint="eastAsia" w:ascii="黑体" w:eastAsia="黑体"/>
          <w:b/>
          <w:lang w:val="en-US" w:eastAsia="zh-CN"/>
        </w:rPr>
        <w:t>轴类、修复</w:t>
      </w:r>
      <w:bookmarkEnd w:id="155"/>
    </w:p>
    <w:sectPr>
      <w:headerReference r:id="rId21" w:type="first"/>
      <w:footerReference r:id="rId22" w:type="first"/>
      <w:pgSz w:w="11906" w:h="16838"/>
      <w:pgMar w:top="1418" w:right="1418" w:bottom="1134" w:left="1418" w:header="1417" w:footer="113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II</w:t>
    </w:r>
    <w:r>
      <w:rPr>
        <w:rFonts w:ascii="Times New Roman" w:hAnsi="Times New Roman"/>
        <w:caps/>
        <w:color w:val="000000" w:themeColor="text1"/>
        <w14:textFill>
          <w14:solidFill>
            <w14:schemeClr w14:val="tx1"/>
          </w14:solidFill>
        </w14:textFil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1</w:t>
    </w:r>
    <w:r>
      <w:rPr>
        <w:rFonts w:ascii="Times New Roman" w:hAnsi="Times New Roman"/>
        <w:caps/>
        <w:color w:val="000000" w:themeColor="text1"/>
        <w14:textFill>
          <w14:solidFill>
            <w14:schemeClr w14:val="tx1"/>
          </w14:solidFill>
        </w14:textFil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1</w:t>
    </w:r>
    <w:r>
      <w:rPr>
        <w:rFonts w:ascii="Times New Roman" w:hAnsi="Times New Roman"/>
        <w:caps/>
        <w:color w:val="000000" w:themeColor="text1"/>
        <w14:textFill>
          <w14:solidFill>
            <w14:schemeClr w14:val="tx1"/>
          </w14:solidFill>
        </w14:textFi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CMES 1.1</w:t>
    </w:r>
    <w:r>
      <w:rPr>
        <w:rFonts w:hint="eastAsia" w:ascii="Times New Roman" w:hAnsi="Times New Roman" w:eastAsia="黑体"/>
        <w:b/>
      </w:rPr>
      <w:t>—2</w:t>
    </w:r>
    <w:r>
      <w:rPr>
        <w:rFonts w:ascii="Times New Roman" w:hAnsi="Times New Roman" w:eastAsia="黑体"/>
        <w:b/>
      </w:rPr>
      <w:t>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Times New Roman" w:hAnsi="Times New Roman" w:eastAsia="黑体"/>
        <w:b/>
      </w:rPr>
    </w:pPr>
    <w:r>
      <w:rPr>
        <w:rFonts w:ascii="Times New Roman" w:hAnsi="Times New Roman" w:eastAsia="黑体"/>
        <w:b/>
      </w:rPr>
      <w:t>T/CMES 1.1</w:t>
    </w:r>
    <w:r>
      <w:rPr>
        <w:rFonts w:hint="eastAsia" w:ascii="Times New Roman" w:hAnsi="Times New Roman" w:eastAsia="黑体"/>
        <w:b/>
      </w:rPr>
      <w:t>—2</w:t>
    </w:r>
    <w:r>
      <w:rPr>
        <w:rFonts w:ascii="Times New Roman" w:hAnsi="Times New Roman" w:eastAsia="黑体"/>
        <w:b/>
      </w:rPr>
      <w:t>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CMES 1.1</w:t>
    </w:r>
    <w:r>
      <w:rPr>
        <w:rFonts w:hint="eastAsia" w:ascii="Times New Roman" w:hAnsi="Times New Roman" w:eastAsia="黑体"/>
        <w:b/>
      </w:rPr>
      <w:t>—2</w:t>
    </w:r>
    <w:r>
      <w:rPr>
        <w:rFonts w:ascii="Times New Roman" w:hAnsi="Times New Roman" w:eastAsia="黑体"/>
        <w:b/>
      </w:rPr>
      <w:t>01X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ascii="Times New Roman" w:hAnsi="Times New Roman" w:eastAsia="黑体"/>
        <w:b/>
      </w:rPr>
      <w:t>T/CMES 1.1</w:t>
    </w:r>
    <w:r>
      <w:rPr>
        <w:rFonts w:hint="eastAsia" w:ascii="Times New Roman" w:hAnsi="Times New Roman" w:eastAsia="黑体"/>
        <w:b/>
      </w:rPr>
      <w:t>—2</w:t>
    </w:r>
    <w:r>
      <w:rPr>
        <w:rFonts w:ascii="Times New Roman" w:hAnsi="Times New Roman" w:eastAsia="黑体"/>
        <w:b/>
      </w:rPr>
      <w:t>01X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19A42"/>
    <w:multiLevelType w:val="singleLevel"/>
    <w:tmpl w:val="9E919A42"/>
    <w:lvl w:ilvl="0" w:tentative="0">
      <w:start w:val="1"/>
      <w:numFmt w:val="decimal"/>
      <w:suff w:val="nothing"/>
      <w:lvlText w:val="%1"/>
      <w:lvlJc w:val="center"/>
      <w:pPr>
        <w:ind w:left="0" w:firstLine="170"/>
      </w:pPr>
      <w:rPr>
        <w:rFonts w:hint="default"/>
      </w:rPr>
    </w:lvl>
  </w:abstractNum>
  <w:abstractNum w:abstractNumId="1">
    <w:nsid w:val="1E3C2409"/>
    <w:multiLevelType w:val="multilevel"/>
    <w:tmpl w:val="1E3C2409"/>
    <w:lvl w:ilvl="0" w:tentative="0">
      <w:start w:val="1"/>
      <w:numFmt w:val="lowerLetter"/>
      <w:pStyle w:val="69"/>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E32610F"/>
    <w:multiLevelType w:val="multilevel"/>
    <w:tmpl w:val="2E32610F"/>
    <w:lvl w:ilvl="0" w:tentative="0">
      <w:start w:val="1"/>
      <w:numFmt w:val="decimal"/>
      <w:pStyle w:val="68"/>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3">
    <w:nsid w:val="3D1C17D8"/>
    <w:multiLevelType w:val="multilevel"/>
    <w:tmpl w:val="3D1C17D8"/>
    <w:lvl w:ilvl="0" w:tentative="0">
      <w:start w:val="1"/>
      <w:numFmt w:val="decimal"/>
      <w:pStyle w:val="74"/>
      <w:lvlText w:val="表%1 "/>
      <w:lvlJc w:val="left"/>
      <w:pPr>
        <w:ind w:left="420" w:hanging="420"/>
      </w:pPr>
      <w:rPr>
        <w:rFonts w:hint="default" w:ascii="Times New Roman" w:hAnsi="Times New Roman"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7C2AF5"/>
    <w:multiLevelType w:val="multilevel"/>
    <w:tmpl w:val="557C2AF5"/>
    <w:lvl w:ilvl="0" w:tentative="0">
      <w:start w:val="1"/>
      <w:numFmt w:val="decimal"/>
      <w:pStyle w:val="92"/>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48"/>
        </w:tabs>
        <w:ind w:left="3969" w:hanging="1418"/>
      </w:pPr>
      <w:rPr>
        <w:rFonts w:hint="eastAsia" w:ascii="宋体" w:hAnsi="宋体" w:eastAsia="宋体"/>
        <w:sz w:val="24"/>
        <w:szCs w:val="24"/>
      </w:rPr>
    </w:lvl>
    <w:lvl w:ilvl="8" w:tentative="0">
      <w:start w:val="1"/>
      <w:numFmt w:val="decimal"/>
      <w:lvlText w:val="%1.%2.%3.%4.%5.%6.%7.%8.%9"/>
      <w:lvlJc w:val="left"/>
      <w:pPr>
        <w:tabs>
          <w:tab w:val="left" w:pos="4774"/>
        </w:tabs>
        <w:ind w:left="4677" w:hanging="1701"/>
      </w:pPr>
      <w:rPr>
        <w:rFonts w:hint="eastAsia" w:ascii="Times New Roman" w:hAnsi="Times New Roman" w:cs="Times New Roman"/>
        <w:sz w:val="24"/>
        <w:szCs w:val="24"/>
      </w:rPr>
    </w:lvl>
  </w:abstractNum>
  <w:abstractNum w:abstractNumId="5">
    <w:nsid w:val="591079F2"/>
    <w:multiLevelType w:val="multilevel"/>
    <w:tmpl w:val="591079F2"/>
    <w:lvl w:ilvl="0" w:tentative="0">
      <w:start w:val="1"/>
      <w:numFmt w:val="decimal"/>
      <w:pStyle w:val="99"/>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53"/>
      <w:suff w:val="nothing"/>
      <w:lvlText w:val="%1"/>
      <w:lvlJc w:val="left"/>
      <w:rPr>
        <w:rFonts w:hint="default" w:ascii="Times New Roman" w:hAnsi="Times New Roman" w:cs="Times New Roman"/>
        <w:b/>
        <w:bCs/>
        <w:i w:val="0"/>
        <w:iCs w:val="0"/>
        <w:sz w:val="21"/>
        <w:szCs w:val="21"/>
      </w:rPr>
    </w:lvl>
    <w:lvl w:ilvl="1" w:tentative="0">
      <w:start w:val="1"/>
      <w:numFmt w:val="decimal"/>
      <w:pStyle w:val="40"/>
      <w:suff w:val="nothing"/>
      <w:lvlText w:val="%1%2　"/>
      <w:lvlJc w:val="left"/>
      <w:rPr>
        <w:rFonts w:hint="eastAsia" w:ascii="黑体" w:hAnsi="Times New Roman" w:eastAsia="黑体"/>
        <w:b w:val="0"/>
        <w:bCs w:val="0"/>
        <w:i w:val="0"/>
        <w:iCs w:val="0"/>
        <w:sz w:val="21"/>
        <w:szCs w:val="21"/>
      </w:rPr>
    </w:lvl>
    <w:lvl w:ilvl="2" w:tentative="0">
      <w:start w:val="1"/>
      <w:numFmt w:val="decimal"/>
      <w:pStyle w:val="52"/>
      <w:suff w:val="nothing"/>
      <w:lvlText w:val="%1%2.%3　"/>
      <w:lvlJc w:val="left"/>
      <w:rPr>
        <w:rFonts w:hint="eastAsia" w:ascii="黑体" w:hAnsi="Times New Roman" w:eastAsia="黑体"/>
        <w:b w:val="0"/>
        <w:bCs w:val="0"/>
        <w:i w:val="0"/>
        <w:iCs w:val="0"/>
        <w:sz w:val="21"/>
        <w:szCs w:val="21"/>
      </w:rPr>
    </w:lvl>
    <w:lvl w:ilvl="3" w:tentative="0">
      <w:start w:val="1"/>
      <w:numFmt w:val="decimal"/>
      <w:pStyle w:val="48"/>
      <w:suff w:val="nothing"/>
      <w:lvlText w:val="%1%2.%3.%4　"/>
      <w:lvlJc w:val="left"/>
      <w:rPr>
        <w:rFonts w:hint="eastAsia" w:ascii="黑体" w:hAnsi="Times New Roman" w:eastAsia="黑体"/>
        <w:b w:val="0"/>
        <w:bCs w:val="0"/>
        <w:i w:val="0"/>
        <w:iCs w:val="0"/>
        <w:sz w:val="21"/>
        <w:szCs w:val="21"/>
      </w:rPr>
    </w:lvl>
    <w:lvl w:ilvl="4" w:tentative="0">
      <w:start w:val="1"/>
      <w:numFmt w:val="decimal"/>
      <w:pStyle w:val="49"/>
      <w:suff w:val="nothing"/>
      <w:lvlText w:val="%1%2.%3.%4.%5　"/>
      <w:lvlJc w:val="left"/>
      <w:rPr>
        <w:rFonts w:hint="eastAsia" w:ascii="黑体" w:hAnsi="Times New Roman" w:eastAsia="黑体"/>
        <w:b w:val="0"/>
        <w:bCs w:val="0"/>
        <w:i w:val="0"/>
        <w:iCs w:val="0"/>
        <w:sz w:val="21"/>
        <w:szCs w:val="21"/>
      </w:rPr>
    </w:lvl>
    <w:lvl w:ilvl="5" w:tentative="0">
      <w:start w:val="1"/>
      <w:numFmt w:val="decimal"/>
      <w:pStyle w:val="50"/>
      <w:suff w:val="nothing"/>
      <w:lvlText w:val="%1%2.%3.%4.%5.%6　"/>
      <w:lvlJc w:val="left"/>
      <w:rPr>
        <w:rFonts w:hint="eastAsia" w:ascii="黑体" w:hAnsi="Times New Roman" w:eastAsia="黑体"/>
        <w:b w:val="0"/>
        <w:bCs w:val="0"/>
        <w:i w:val="0"/>
        <w:iCs w:val="0"/>
        <w:sz w:val="21"/>
        <w:szCs w:val="21"/>
      </w:rPr>
    </w:lvl>
    <w:lvl w:ilvl="6" w:tentative="0">
      <w:start w:val="1"/>
      <w:numFmt w:val="decimal"/>
      <w:pStyle w:val="51"/>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2"/>
  </w:num>
  <w:num w:numId="3">
    <w:abstractNumId w:val="1"/>
  </w:num>
  <w:num w:numId="4">
    <w:abstractNumId w:val="3"/>
  </w:num>
  <w:num w:numId="5">
    <w:abstractNumId w:val="6"/>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00197850"/>
    <w:rsid w:val="00031BBE"/>
    <w:rsid w:val="000339ED"/>
    <w:rsid w:val="000346B1"/>
    <w:rsid w:val="00042A58"/>
    <w:rsid w:val="00043BBF"/>
    <w:rsid w:val="0004662A"/>
    <w:rsid w:val="00054640"/>
    <w:rsid w:val="000579A2"/>
    <w:rsid w:val="0007115C"/>
    <w:rsid w:val="00075356"/>
    <w:rsid w:val="00082CDB"/>
    <w:rsid w:val="000A66A4"/>
    <w:rsid w:val="000B6447"/>
    <w:rsid w:val="000C7161"/>
    <w:rsid w:val="000D3E2B"/>
    <w:rsid w:val="001049A4"/>
    <w:rsid w:val="00114D03"/>
    <w:rsid w:val="001206E3"/>
    <w:rsid w:val="00126DF5"/>
    <w:rsid w:val="00136997"/>
    <w:rsid w:val="00145B60"/>
    <w:rsid w:val="00153FFF"/>
    <w:rsid w:val="0015626C"/>
    <w:rsid w:val="001622E6"/>
    <w:rsid w:val="00172B3E"/>
    <w:rsid w:val="00177F1B"/>
    <w:rsid w:val="00181276"/>
    <w:rsid w:val="00182A98"/>
    <w:rsid w:val="00185F6F"/>
    <w:rsid w:val="00197850"/>
    <w:rsid w:val="001C626A"/>
    <w:rsid w:val="001C7C17"/>
    <w:rsid w:val="001D77DA"/>
    <w:rsid w:val="001D7C7B"/>
    <w:rsid w:val="001E57FE"/>
    <w:rsid w:val="001F66A7"/>
    <w:rsid w:val="00201A9F"/>
    <w:rsid w:val="00226ABA"/>
    <w:rsid w:val="00230E80"/>
    <w:rsid w:val="002369AD"/>
    <w:rsid w:val="0024058F"/>
    <w:rsid w:val="00241071"/>
    <w:rsid w:val="002424D8"/>
    <w:rsid w:val="00257D51"/>
    <w:rsid w:val="00265E44"/>
    <w:rsid w:val="00272374"/>
    <w:rsid w:val="00277943"/>
    <w:rsid w:val="00284E21"/>
    <w:rsid w:val="0029450A"/>
    <w:rsid w:val="002A1CB1"/>
    <w:rsid w:val="002A518B"/>
    <w:rsid w:val="002B2331"/>
    <w:rsid w:val="002C1E25"/>
    <w:rsid w:val="002C7B57"/>
    <w:rsid w:val="002D5564"/>
    <w:rsid w:val="002F1FE6"/>
    <w:rsid w:val="002F7E53"/>
    <w:rsid w:val="003008C9"/>
    <w:rsid w:val="00300F34"/>
    <w:rsid w:val="0030463B"/>
    <w:rsid w:val="00305645"/>
    <w:rsid w:val="0031575C"/>
    <w:rsid w:val="0032733A"/>
    <w:rsid w:val="003320B4"/>
    <w:rsid w:val="00333C16"/>
    <w:rsid w:val="0033755E"/>
    <w:rsid w:val="00352F36"/>
    <w:rsid w:val="00353DD1"/>
    <w:rsid w:val="00355979"/>
    <w:rsid w:val="00355B99"/>
    <w:rsid w:val="00397B83"/>
    <w:rsid w:val="003A24BE"/>
    <w:rsid w:val="003B392B"/>
    <w:rsid w:val="003C3CCA"/>
    <w:rsid w:val="003D5692"/>
    <w:rsid w:val="003D63E2"/>
    <w:rsid w:val="003D6612"/>
    <w:rsid w:val="003E1BCE"/>
    <w:rsid w:val="003E2628"/>
    <w:rsid w:val="003F3C99"/>
    <w:rsid w:val="003F4FA2"/>
    <w:rsid w:val="00403B8D"/>
    <w:rsid w:val="00422CB4"/>
    <w:rsid w:val="00432E59"/>
    <w:rsid w:val="00433433"/>
    <w:rsid w:val="004524E3"/>
    <w:rsid w:val="004707D2"/>
    <w:rsid w:val="00476A50"/>
    <w:rsid w:val="00480644"/>
    <w:rsid w:val="00495E73"/>
    <w:rsid w:val="004A3C6A"/>
    <w:rsid w:val="004A4462"/>
    <w:rsid w:val="004B62C8"/>
    <w:rsid w:val="004B695C"/>
    <w:rsid w:val="004C1995"/>
    <w:rsid w:val="004C5F51"/>
    <w:rsid w:val="004C60E0"/>
    <w:rsid w:val="004E415D"/>
    <w:rsid w:val="004F1453"/>
    <w:rsid w:val="004F398E"/>
    <w:rsid w:val="004F6362"/>
    <w:rsid w:val="0050399B"/>
    <w:rsid w:val="005100A7"/>
    <w:rsid w:val="00511CB1"/>
    <w:rsid w:val="005129CF"/>
    <w:rsid w:val="005140CA"/>
    <w:rsid w:val="0051518A"/>
    <w:rsid w:val="00520BEA"/>
    <w:rsid w:val="00521F0B"/>
    <w:rsid w:val="0052218B"/>
    <w:rsid w:val="00522922"/>
    <w:rsid w:val="0053188A"/>
    <w:rsid w:val="00532CFF"/>
    <w:rsid w:val="00541077"/>
    <w:rsid w:val="00542E1B"/>
    <w:rsid w:val="0057551E"/>
    <w:rsid w:val="005801BA"/>
    <w:rsid w:val="005840B2"/>
    <w:rsid w:val="005871F8"/>
    <w:rsid w:val="005B1A01"/>
    <w:rsid w:val="005B1BC3"/>
    <w:rsid w:val="005C5140"/>
    <w:rsid w:val="005D28BA"/>
    <w:rsid w:val="005D2A9F"/>
    <w:rsid w:val="005E1738"/>
    <w:rsid w:val="005E3E62"/>
    <w:rsid w:val="005F7C28"/>
    <w:rsid w:val="00616CE4"/>
    <w:rsid w:val="0062136E"/>
    <w:rsid w:val="006323F9"/>
    <w:rsid w:val="0064500D"/>
    <w:rsid w:val="006617E6"/>
    <w:rsid w:val="00662A9E"/>
    <w:rsid w:val="0066634E"/>
    <w:rsid w:val="00670009"/>
    <w:rsid w:val="0067619F"/>
    <w:rsid w:val="00680F62"/>
    <w:rsid w:val="00685450"/>
    <w:rsid w:val="0068644D"/>
    <w:rsid w:val="00686E97"/>
    <w:rsid w:val="006A473E"/>
    <w:rsid w:val="006A4AAC"/>
    <w:rsid w:val="006B13F0"/>
    <w:rsid w:val="006C7AFC"/>
    <w:rsid w:val="006F6631"/>
    <w:rsid w:val="00701791"/>
    <w:rsid w:val="00704BD6"/>
    <w:rsid w:val="0070625B"/>
    <w:rsid w:val="0071776D"/>
    <w:rsid w:val="00734846"/>
    <w:rsid w:val="00735EA5"/>
    <w:rsid w:val="007465BC"/>
    <w:rsid w:val="00752A9B"/>
    <w:rsid w:val="007656F8"/>
    <w:rsid w:val="00784C08"/>
    <w:rsid w:val="00790330"/>
    <w:rsid w:val="007A777A"/>
    <w:rsid w:val="007C575A"/>
    <w:rsid w:val="007D3060"/>
    <w:rsid w:val="007D6112"/>
    <w:rsid w:val="007F10D9"/>
    <w:rsid w:val="00815459"/>
    <w:rsid w:val="00820C97"/>
    <w:rsid w:val="00821F71"/>
    <w:rsid w:val="008263E9"/>
    <w:rsid w:val="00847610"/>
    <w:rsid w:val="008528DB"/>
    <w:rsid w:val="00855261"/>
    <w:rsid w:val="0087534F"/>
    <w:rsid w:val="00876C1C"/>
    <w:rsid w:val="00886D1D"/>
    <w:rsid w:val="00890A5A"/>
    <w:rsid w:val="008B46EA"/>
    <w:rsid w:val="008C0620"/>
    <w:rsid w:val="008C3961"/>
    <w:rsid w:val="008C3D80"/>
    <w:rsid w:val="008D37F6"/>
    <w:rsid w:val="008D709B"/>
    <w:rsid w:val="008E020F"/>
    <w:rsid w:val="008F2C17"/>
    <w:rsid w:val="0093006A"/>
    <w:rsid w:val="009A6675"/>
    <w:rsid w:val="009A7808"/>
    <w:rsid w:val="009B4859"/>
    <w:rsid w:val="009C3B90"/>
    <w:rsid w:val="009D51F9"/>
    <w:rsid w:val="009F2EFC"/>
    <w:rsid w:val="009F3D9E"/>
    <w:rsid w:val="00A03B1E"/>
    <w:rsid w:val="00A0619D"/>
    <w:rsid w:val="00A11371"/>
    <w:rsid w:val="00A30394"/>
    <w:rsid w:val="00A3378D"/>
    <w:rsid w:val="00A34362"/>
    <w:rsid w:val="00A34615"/>
    <w:rsid w:val="00A431D7"/>
    <w:rsid w:val="00A45401"/>
    <w:rsid w:val="00A51F65"/>
    <w:rsid w:val="00A65F94"/>
    <w:rsid w:val="00A6675C"/>
    <w:rsid w:val="00A734A6"/>
    <w:rsid w:val="00A736B3"/>
    <w:rsid w:val="00A7685F"/>
    <w:rsid w:val="00A7729E"/>
    <w:rsid w:val="00A80191"/>
    <w:rsid w:val="00A9477A"/>
    <w:rsid w:val="00AA28E7"/>
    <w:rsid w:val="00AC0DFD"/>
    <w:rsid w:val="00AC7A45"/>
    <w:rsid w:val="00AE34C0"/>
    <w:rsid w:val="00AE7E3A"/>
    <w:rsid w:val="00B121CE"/>
    <w:rsid w:val="00B1305F"/>
    <w:rsid w:val="00B13D5F"/>
    <w:rsid w:val="00B15034"/>
    <w:rsid w:val="00B44106"/>
    <w:rsid w:val="00B53A4F"/>
    <w:rsid w:val="00B702B9"/>
    <w:rsid w:val="00B75CBB"/>
    <w:rsid w:val="00B84E0E"/>
    <w:rsid w:val="00B942A4"/>
    <w:rsid w:val="00BA1ED4"/>
    <w:rsid w:val="00BC36DD"/>
    <w:rsid w:val="00BD25CF"/>
    <w:rsid w:val="00BD4562"/>
    <w:rsid w:val="00BE5EE4"/>
    <w:rsid w:val="00BF51F3"/>
    <w:rsid w:val="00C02604"/>
    <w:rsid w:val="00C07360"/>
    <w:rsid w:val="00C104DC"/>
    <w:rsid w:val="00C12581"/>
    <w:rsid w:val="00C243E2"/>
    <w:rsid w:val="00C43A0E"/>
    <w:rsid w:val="00C44C91"/>
    <w:rsid w:val="00C44F61"/>
    <w:rsid w:val="00C610BF"/>
    <w:rsid w:val="00C65CCF"/>
    <w:rsid w:val="00C66161"/>
    <w:rsid w:val="00C708C9"/>
    <w:rsid w:val="00C7325D"/>
    <w:rsid w:val="00C73CA9"/>
    <w:rsid w:val="00C81E41"/>
    <w:rsid w:val="00C91432"/>
    <w:rsid w:val="00C9652D"/>
    <w:rsid w:val="00CB08B7"/>
    <w:rsid w:val="00CB2FE2"/>
    <w:rsid w:val="00CB4B9D"/>
    <w:rsid w:val="00D00200"/>
    <w:rsid w:val="00D00379"/>
    <w:rsid w:val="00D06FAB"/>
    <w:rsid w:val="00D13566"/>
    <w:rsid w:val="00D14F82"/>
    <w:rsid w:val="00D31F86"/>
    <w:rsid w:val="00D762DB"/>
    <w:rsid w:val="00D85888"/>
    <w:rsid w:val="00DA6065"/>
    <w:rsid w:val="00DC2799"/>
    <w:rsid w:val="00DC4163"/>
    <w:rsid w:val="00DD0E44"/>
    <w:rsid w:val="00E12492"/>
    <w:rsid w:val="00E14BB9"/>
    <w:rsid w:val="00E171AF"/>
    <w:rsid w:val="00E237C7"/>
    <w:rsid w:val="00E44D5B"/>
    <w:rsid w:val="00E46224"/>
    <w:rsid w:val="00E620CA"/>
    <w:rsid w:val="00E72F68"/>
    <w:rsid w:val="00E76F7B"/>
    <w:rsid w:val="00E82704"/>
    <w:rsid w:val="00E8641B"/>
    <w:rsid w:val="00E864A0"/>
    <w:rsid w:val="00E91A93"/>
    <w:rsid w:val="00E923FC"/>
    <w:rsid w:val="00E956F8"/>
    <w:rsid w:val="00EA5A10"/>
    <w:rsid w:val="00EB1D74"/>
    <w:rsid w:val="00EB3828"/>
    <w:rsid w:val="00EC654B"/>
    <w:rsid w:val="00EC79BA"/>
    <w:rsid w:val="00ED18F5"/>
    <w:rsid w:val="00F23A03"/>
    <w:rsid w:val="00F33591"/>
    <w:rsid w:val="00F36CCA"/>
    <w:rsid w:val="00F36D91"/>
    <w:rsid w:val="00F609D4"/>
    <w:rsid w:val="00F6181B"/>
    <w:rsid w:val="00F71C34"/>
    <w:rsid w:val="00F74EA2"/>
    <w:rsid w:val="00F754C9"/>
    <w:rsid w:val="00F849E0"/>
    <w:rsid w:val="00F875F0"/>
    <w:rsid w:val="00F90380"/>
    <w:rsid w:val="00FA524D"/>
    <w:rsid w:val="00FA5681"/>
    <w:rsid w:val="00FA7738"/>
    <w:rsid w:val="00FB3B49"/>
    <w:rsid w:val="00FB4877"/>
    <w:rsid w:val="00FE4811"/>
    <w:rsid w:val="03DB240E"/>
    <w:rsid w:val="0C834F87"/>
    <w:rsid w:val="0C925FA1"/>
    <w:rsid w:val="0DEA1BCB"/>
    <w:rsid w:val="1A2479D4"/>
    <w:rsid w:val="2A500BB0"/>
    <w:rsid w:val="2FD27187"/>
    <w:rsid w:val="37BD6D4B"/>
    <w:rsid w:val="3DBD6105"/>
    <w:rsid w:val="3E157CEF"/>
    <w:rsid w:val="3E161F67"/>
    <w:rsid w:val="50A05456"/>
    <w:rsid w:val="53C56EB3"/>
    <w:rsid w:val="554271C4"/>
    <w:rsid w:val="6C93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semiHidden="0" w:name="heading 2"/>
    <w:lsdException w:qFormat="1" w:uiPriority="9" w:semiHidden="0" w:name="heading 3"/>
    <w:lsdException w:qFormat="1" w:uiPriority="9" w:semiHidden="0" w:name="heading 4"/>
    <w:lsdException w:qFormat="1" w:uiPriority="9" w:semiHidden="0" w:name="heading 5"/>
    <w:lsdException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Calibri"/>
      <w:kern w:val="2"/>
      <w:sz w:val="21"/>
      <w:szCs w:val="21"/>
      <w:lang w:val="en-US" w:eastAsia="zh-CN" w:bidi="ar-SA"/>
    </w:rPr>
  </w:style>
  <w:style w:type="paragraph" w:styleId="2">
    <w:name w:val="heading 1"/>
    <w:basedOn w:val="1"/>
    <w:next w:val="1"/>
    <w:link w:val="29"/>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0"/>
    <w:autoRedefine/>
    <w:unhideWhenUsed/>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1"/>
    <w:autoRedefine/>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2"/>
    <w:autoRedefine/>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3"/>
    <w:autoRedefine/>
    <w:unhideWhenUsed/>
    <w:qFormat/>
    <w:uiPriority w:val="9"/>
    <w:pPr>
      <w:keepNext/>
      <w:keepLines/>
      <w:spacing w:before="280" w:after="290" w:line="376" w:lineRule="atLeast"/>
      <w:outlineLvl w:val="4"/>
    </w:pPr>
    <w:rPr>
      <w:b/>
      <w:bCs/>
      <w:sz w:val="28"/>
      <w:szCs w:val="28"/>
    </w:rPr>
  </w:style>
  <w:style w:type="paragraph" w:styleId="7">
    <w:name w:val="heading 6"/>
    <w:basedOn w:val="1"/>
    <w:next w:val="1"/>
    <w:link w:val="34"/>
    <w:autoRedefine/>
    <w:unhideWhenUsed/>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8">
    <w:name w:val="heading 7"/>
    <w:basedOn w:val="1"/>
    <w:next w:val="1"/>
    <w:link w:val="35"/>
    <w:unhideWhenUsed/>
    <w:qFormat/>
    <w:uiPriority w:val="9"/>
    <w:pPr>
      <w:keepNext/>
      <w:keepLines/>
      <w:spacing w:before="240" w:after="64" w:line="320" w:lineRule="atLeast"/>
      <w:outlineLvl w:val="6"/>
    </w:pPr>
    <w:rPr>
      <w:b/>
      <w:bCs/>
      <w:sz w:val="24"/>
      <w:szCs w:val="24"/>
    </w:rPr>
  </w:style>
  <w:style w:type="paragraph" w:styleId="9">
    <w:name w:val="heading 8"/>
    <w:basedOn w:val="1"/>
    <w:next w:val="1"/>
    <w:link w:val="36"/>
    <w:autoRedefine/>
    <w:unhideWhenUsed/>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37"/>
    <w:autoRedefine/>
    <w:unhideWhenUsed/>
    <w:qFormat/>
    <w:uiPriority w:val="9"/>
    <w:pPr>
      <w:keepNext/>
      <w:keepLines/>
      <w:spacing w:before="240" w:after="64" w:line="320" w:lineRule="atLeast"/>
      <w:outlineLvl w:val="8"/>
    </w:pPr>
    <w:rPr>
      <w:rFonts w:asciiTheme="majorHAnsi" w:hAnsiTheme="majorHAnsi" w:eastAsiaTheme="majorEastAsia" w:cstheme="majorBidi"/>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link w:val="85"/>
    <w:autoRedefine/>
    <w:unhideWhenUsed/>
    <w:qFormat/>
    <w:uiPriority w:val="0"/>
    <w:pPr>
      <w:adjustRightInd/>
      <w:spacing w:line="240" w:lineRule="auto"/>
      <w:jc w:val="left"/>
    </w:pPr>
    <w:rPr>
      <w:rFonts w:asciiTheme="minorHAnsi" w:hAnsiTheme="minorHAnsi" w:eastAsiaTheme="minorEastAsia" w:cstheme="minorBidi"/>
      <w:szCs w:val="24"/>
    </w:rPr>
  </w:style>
  <w:style w:type="paragraph" w:styleId="12">
    <w:name w:val="Balloon Text"/>
    <w:basedOn w:val="1"/>
    <w:link w:val="28"/>
    <w:autoRedefine/>
    <w:semiHidden/>
    <w:unhideWhenUsed/>
    <w:qFormat/>
    <w:uiPriority w:val="99"/>
    <w:pPr>
      <w:spacing w:line="240" w:lineRule="auto"/>
    </w:pPr>
    <w:rPr>
      <w:sz w:val="18"/>
      <w:szCs w:val="18"/>
    </w:rPr>
  </w:style>
  <w:style w:type="paragraph" w:styleId="13">
    <w:name w:val="footer"/>
    <w:basedOn w:val="1"/>
    <w:link w:val="27"/>
    <w:autoRedefine/>
    <w:unhideWhenUsed/>
    <w:qFormat/>
    <w:uiPriority w:val="99"/>
    <w:pPr>
      <w:tabs>
        <w:tab w:val="center" w:pos="4153"/>
        <w:tab w:val="right" w:pos="8306"/>
      </w:tabs>
      <w:snapToGrid w:val="0"/>
      <w:jc w:val="left"/>
    </w:pPr>
    <w:rPr>
      <w:sz w:val="18"/>
      <w:szCs w:val="18"/>
    </w:rPr>
  </w:style>
  <w:style w:type="paragraph" w:styleId="14">
    <w:name w:val="header"/>
    <w:basedOn w:val="1"/>
    <w:link w:val="26"/>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autoRedefine/>
    <w:unhideWhenUsed/>
    <w:qFormat/>
    <w:uiPriority w:val="39"/>
    <w:pPr>
      <w:tabs>
        <w:tab w:val="left" w:pos="567"/>
        <w:tab w:val="left" w:pos="840"/>
        <w:tab w:val="right" w:leader="dot" w:pos="9060"/>
      </w:tabs>
      <w:jc w:val="left"/>
    </w:pPr>
    <w:rPr>
      <w:rFonts w:ascii="Times New Roman" w:hAnsi="Times New Roman"/>
    </w:rPr>
  </w:style>
  <w:style w:type="paragraph" w:styleId="16">
    <w:name w:val="Subtitle"/>
    <w:basedOn w:val="1"/>
    <w:next w:val="1"/>
    <w:link w:val="43"/>
    <w:autoRedefine/>
    <w:qFormat/>
    <w:uiPriority w:val="11"/>
    <w:pPr>
      <w:spacing w:before="240" w:after="60" w:line="312" w:lineRule="atLeast"/>
      <w:jc w:val="center"/>
      <w:outlineLvl w:val="1"/>
    </w:pPr>
    <w:rPr>
      <w:rFonts w:asciiTheme="minorHAnsi" w:hAnsiTheme="minorHAnsi" w:eastAsiaTheme="minorEastAsia" w:cstheme="minorBidi"/>
      <w:b/>
      <w:bCs/>
      <w:kern w:val="28"/>
      <w:sz w:val="32"/>
      <w:szCs w:val="32"/>
    </w:rPr>
  </w:style>
  <w:style w:type="paragraph" w:styleId="17">
    <w:name w:val="table of figures"/>
    <w:basedOn w:val="1"/>
    <w:next w:val="1"/>
    <w:link w:val="70"/>
    <w:autoRedefine/>
    <w:semiHidden/>
    <w:unhideWhenUsed/>
    <w:qFormat/>
    <w:uiPriority w:val="99"/>
    <w:pPr>
      <w:ind w:left="200" w:leftChars="200" w:hanging="200" w:hangingChars="200"/>
    </w:pPr>
  </w:style>
  <w:style w:type="paragraph" w:styleId="18">
    <w:name w:val="toc 2"/>
    <w:basedOn w:val="1"/>
    <w:next w:val="1"/>
    <w:autoRedefine/>
    <w:unhideWhenUsed/>
    <w:qFormat/>
    <w:uiPriority w:val="39"/>
    <w:pPr>
      <w:ind w:left="420" w:leftChars="200"/>
    </w:pPr>
  </w:style>
  <w:style w:type="paragraph" w:styleId="19">
    <w:name w:val="Title"/>
    <w:basedOn w:val="1"/>
    <w:next w:val="1"/>
    <w:link w:val="38"/>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21">
    <w:name w:val="Table Grid"/>
    <w:basedOn w:val="20"/>
    <w:autoRedefine/>
    <w:qFormat/>
    <w:uiPriority w:val="9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rPr>
      <w:rFonts w:ascii="宋体" w:hAnsi="Times New Roman" w:eastAsia="宋体" w:cs="宋体"/>
      <w:sz w:val="18"/>
      <w:szCs w:val="18"/>
    </w:rPr>
  </w:style>
  <w:style w:type="character" w:styleId="24">
    <w:name w:val="Hyperlink"/>
    <w:basedOn w:val="22"/>
    <w:autoRedefine/>
    <w:unhideWhenUsed/>
    <w:qFormat/>
    <w:uiPriority w:val="99"/>
    <w:rPr>
      <w:color w:val="0563C1" w:themeColor="hyperlink"/>
      <w:u w:val="single"/>
      <w14:textFill>
        <w14:solidFill>
          <w14:schemeClr w14:val="hlink"/>
        </w14:solidFill>
      </w14:textFill>
    </w:rPr>
  </w:style>
  <w:style w:type="character" w:styleId="25">
    <w:name w:val="annotation reference"/>
    <w:autoRedefine/>
    <w:unhideWhenUsed/>
    <w:qFormat/>
    <w:uiPriority w:val="0"/>
    <w:rPr>
      <w:sz w:val="21"/>
      <w:szCs w:val="21"/>
    </w:rPr>
  </w:style>
  <w:style w:type="character" w:customStyle="1" w:styleId="26">
    <w:name w:val="页眉 字符"/>
    <w:basedOn w:val="22"/>
    <w:link w:val="14"/>
    <w:autoRedefine/>
    <w:qFormat/>
    <w:uiPriority w:val="99"/>
    <w:rPr>
      <w:rFonts w:ascii="Calibri" w:hAnsi="Calibri" w:eastAsia="宋体" w:cs="Calibri"/>
      <w:sz w:val="18"/>
      <w:szCs w:val="18"/>
    </w:rPr>
  </w:style>
  <w:style w:type="character" w:customStyle="1" w:styleId="27">
    <w:name w:val="页脚 字符"/>
    <w:basedOn w:val="22"/>
    <w:link w:val="13"/>
    <w:autoRedefine/>
    <w:qFormat/>
    <w:uiPriority w:val="99"/>
    <w:rPr>
      <w:sz w:val="18"/>
      <w:szCs w:val="18"/>
    </w:rPr>
  </w:style>
  <w:style w:type="character" w:customStyle="1" w:styleId="28">
    <w:name w:val="批注框文本 字符"/>
    <w:basedOn w:val="22"/>
    <w:link w:val="12"/>
    <w:autoRedefine/>
    <w:semiHidden/>
    <w:qFormat/>
    <w:uiPriority w:val="99"/>
    <w:rPr>
      <w:rFonts w:ascii="Calibri" w:hAnsi="Calibri" w:eastAsia="宋体" w:cs="Calibri"/>
      <w:sz w:val="18"/>
      <w:szCs w:val="18"/>
    </w:rPr>
  </w:style>
  <w:style w:type="character" w:customStyle="1" w:styleId="29">
    <w:name w:val="标题 1 字符"/>
    <w:basedOn w:val="22"/>
    <w:link w:val="2"/>
    <w:autoRedefine/>
    <w:qFormat/>
    <w:uiPriority w:val="9"/>
    <w:rPr>
      <w:rFonts w:ascii="Calibri" w:hAnsi="Calibri" w:eastAsia="宋体" w:cs="Calibri"/>
      <w:b/>
      <w:bCs/>
      <w:kern w:val="44"/>
      <w:sz w:val="44"/>
      <w:szCs w:val="44"/>
    </w:rPr>
  </w:style>
  <w:style w:type="character" w:customStyle="1" w:styleId="30">
    <w:name w:val="标题 2 字符"/>
    <w:basedOn w:val="22"/>
    <w:link w:val="3"/>
    <w:autoRedefine/>
    <w:qFormat/>
    <w:uiPriority w:val="9"/>
    <w:rPr>
      <w:rFonts w:asciiTheme="majorHAnsi" w:hAnsiTheme="majorHAnsi" w:eastAsiaTheme="majorEastAsia" w:cstheme="majorBidi"/>
      <w:b/>
      <w:bCs/>
      <w:sz w:val="32"/>
      <w:szCs w:val="32"/>
    </w:rPr>
  </w:style>
  <w:style w:type="character" w:customStyle="1" w:styleId="31">
    <w:name w:val="标题 3 字符"/>
    <w:basedOn w:val="22"/>
    <w:link w:val="4"/>
    <w:autoRedefine/>
    <w:qFormat/>
    <w:uiPriority w:val="9"/>
    <w:rPr>
      <w:rFonts w:ascii="Calibri" w:hAnsi="Calibri" w:eastAsia="宋体" w:cs="Calibri"/>
      <w:b/>
      <w:bCs/>
      <w:sz w:val="32"/>
      <w:szCs w:val="32"/>
    </w:rPr>
  </w:style>
  <w:style w:type="character" w:customStyle="1" w:styleId="32">
    <w:name w:val="标题 4 字符"/>
    <w:basedOn w:val="22"/>
    <w:link w:val="5"/>
    <w:autoRedefine/>
    <w:qFormat/>
    <w:uiPriority w:val="9"/>
    <w:rPr>
      <w:rFonts w:asciiTheme="majorHAnsi" w:hAnsiTheme="majorHAnsi" w:eastAsiaTheme="majorEastAsia" w:cstheme="majorBidi"/>
      <w:b/>
      <w:bCs/>
      <w:sz w:val="28"/>
      <w:szCs w:val="28"/>
    </w:rPr>
  </w:style>
  <w:style w:type="character" w:customStyle="1" w:styleId="33">
    <w:name w:val="标题 5 字符"/>
    <w:basedOn w:val="22"/>
    <w:link w:val="6"/>
    <w:autoRedefine/>
    <w:qFormat/>
    <w:uiPriority w:val="9"/>
    <w:rPr>
      <w:rFonts w:ascii="Calibri" w:hAnsi="Calibri" w:eastAsia="宋体" w:cs="Calibri"/>
      <w:b/>
      <w:bCs/>
      <w:sz w:val="28"/>
      <w:szCs w:val="28"/>
    </w:rPr>
  </w:style>
  <w:style w:type="character" w:customStyle="1" w:styleId="34">
    <w:name w:val="标题 6 字符"/>
    <w:basedOn w:val="22"/>
    <w:link w:val="7"/>
    <w:autoRedefine/>
    <w:qFormat/>
    <w:uiPriority w:val="9"/>
    <w:rPr>
      <w:rFonts w:asciiTheme="majorHAnsi" w:hAnsiTheme="majorHAnsi" w:eastAsiaTheme="majorEastAsia" w:cstheme="majorBidi"/>
      <w:b/>
      <w:bCs/>
      <w:sz w:val="24"/>
      <w:szCs w:val="24"/>
    </w:rPr>
  </w:style>
  <w:style w:type="character" w:customStyle="1" w:styleId="35">
    <w:name w:val="标题 7 字符"/>
    <w:basedOn w:val="22"/>
    <w:link w:val="8"/>
    <w:autoRedefine/>
    <w:qFormat/>
    <w:uiPriority w:val="9"/>
    <w:rPr>
      <w:rFonts w:ascii="Calibri" w:hAnsi="Calibri" w:eastAsia="宋体" w:cs="Calibri"/>
      <w:b/>
      <w:bCs/>
      <w:sz w:val="24"/>
      <w:szCs w:val="24"/>
    </w:rPr>
  </w:style>
  <w:style w:type="character" w:customStyle="1" w:styleId="36">
    <w:name w:val="标题 8 字符"/>
    <w:basedOn w:val="22"/>
    <w:link w:val="9"/>
    <w:qFormat/>
    <w:uiPriority w:val="9"/>
    <w:rPr>
      <w:rFonts w:asciiTheme="majorHAnsi" w:hAnsiTheme="majorHAnsi" w:eastAsiaTheme="majorEastAsia" w:cstheme="majorBidi"/>
      <w:sz w:val="24"/>
      <w:szCs w:val="24"/>
    </w:rPr>
  </w:style>
  <w:style w:type="character" w:customStyle="1" w:styleId="37">
    <w:name w:val="标题 9 字符"/>
    <w:basedOn w:val="22"/>
    <w:link w:val="10"/>
    <w:autoRedefine/>
    <w:qFormat/>
    <w:uiPriority w:val="9"/>
    <w:rPr>
      <w:rFonts w:asciiTheme="majorHAnsi" w:hAnsiTheme="majorHAnsi" w:eastAsiaTheme="majorEastAsia" w:cstheme="majorBidi"/>
      <w:szCs w:val="21"/>
    </w:rPr>
  </w:style>
  <w:style w:type="character" w:customStyle="1" w:styleId="38">
    <w:name w:val="标题 字符"/>
    <w:basedOn w:val="22"/>
    <w:link w:val="19"/>
    <w:autoRedefine/>
    <w:qFormat/>
    <w:uiPriority w:val="10"/>
    <w:rPr>
      <w:rFonts w:asciiTheme="majorHAnsi" w:hAnsiTheme="majorHAnsi" w:eastAsiaTheme="majorEastAsia" w:cstheme="majorBidi"/>
      <w:b/>
      <w:bCs/>
      <w:sz w:val="32"/>
      <w:szCs w:val="32"/>
    </w:rPr>
  </w:style>
  <w:style w:type="paragraph" w:customStyle="1" w:styleId="39">
    <w:name w:val="章标题"/>
    <w:basedOn w:val="40"/>
    <w:next w:val="42"/>
    <w:link w:val="57"/>
    <w:autoRedefine/>
    <w:qFormat/>
    <w:uiPriority w:val="0"/>
    <w:pPr>
      <w:spacing w:before="312" w:beforeLines="100" w:after="312" w:afterLines="100"/>
    </w:pPr>
    <w:rPr>
      <w:rFonts w:ascii="Times New Roman"/>
    </w:rPr>
  </w:style>
  <w:style w:type="paragraph" w:customStyle="1" w:styleId="40">
    <w:name w:val="1章标题"/>
    <w:next w:val="41"/>
    <w:link w:val="56"/>
    <w:autoRedefine/>
    <w:qFormat/>
    <w:uiPriority w:val="99"/>
    <w:pPr>
      <w:numPr>
        <w:ilvl w:val="1"/>
        <w:numId w:val="1"/>
      </w:numPr>
      <w:spacing w:beforeLines="50" w:afterLines="50"/>
      <w:jc w:val="both"/>
      <w:outlineLvl w:val="0"/>
    </w:pPr>
    <w:rPr>
      <w:rFonts w:ascii="黑体" w:hAnsi="Times New Roman" w:eastAsia="黑体" w:cs="黑体"/>
      <w:kern w:val="0"/>
      <w:sz w:val="21"/>
      <w:szCs w:val="21"/>
      <w:lang w:val="en-US" w:eastAsia="zh-CN" w:bidi="ar-SA"/>
    </w:rPr>
  </w:style>
  <w:style w:type="paragraph" w:customStyle="1" w:styleId="41">
    <w:name w:val="标准文件_段"/>
    <w:autoRedefine/>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42">
    <w:name w:val="段"/>
    <w:basedOn w:val="1"/>
    <w:link w:val="47"/>
    <w:autoRedefine/>
    <w:qFormat/>
    <w:uiPriority w:val="0"/>
    <w:pPr>
      <w:spacing w:line="240" w:lineRule="auto"/>
      <w:ind w:firstLine="420" w:firstLineChars="200"/>
    </w:pPr>
    <w:rPr>
      <w:rFonts w:ascii="Times New Roman" w:hAnsi="Times New Roman"/>
    </w:rPr>
  </w:style>
  <w:style w:type="character" w:customStyle="1" w:styleId="43">
    <w:name w:val="副标题 字符"/>
    <w:basedOn w:val="22"/>
    <w:link w:val="16"/>
    <w:autoRedefine/>
    <w:qFormat/>
    <w:uiPriority w:val="11"/>
    <w:rPr>
      <w:b/>
      <w:bCs/>
      <w:kern w:val="28"/>
      <w:sz w:val="32"/>
      <w:szCs w:val="32"/>
    </w:rPr>
  </w:style>
  <w:style w:type="character" w:customStyle="1" w:styleId="44">
    <w:name w:val="Subtle Emphasis"/>
    <w:basedOn w:val="22"/>
    <w:autoRedefine/>
    <w:qFormat/>
    <w:uiPriority w:val="19"/>
    <w:rPr>
      <w:i/>
      <w:iCs/>
      <w:color w:val="404040" w:themeColor="text1" w:themeTint="BF"/>
      <w14:textFill>
        <w14:solidFill>
          <w14:schemeClr w14:val="tx1">
            <w14:lumMod w14:val="75000"/>
            <w14:lumOff w14:val="25000"/>
          </w14:schemeClr>
        </w14:solidFill>
      </w14:textFill>
    </w:rPr>
  </w:style>
  <w:style w:type="paragraph" w:customStyle="1" w:styleId="45">
    <w:name w:val="目次、前言、引言"/>
    <w:basedOn w:val="19"/>
    <w:next w:val="42"/>
    <w:link w:val="46"/>
    <w:autoRedefine/>
    <w:qFormat/>
    <w:uiPriority w:val="0"/>
    <w:pPr>
      <w:spacing w:before="851" w:after="680" w:line="240" w:lineRule="auto"/>
    </w:pPr>
    <w:rPr>
      <w:rFonts w:eastAsia="黑体"/>
      <w:b w:val="0"/>
    </w:rPr>
  </w:style>
  <w:style w:type="character" w:customStyle="1" w:styleId="46">
    <w:name w:val="目次、前言、引言 字符"/>
    <w:basedOn w:val="38"/>
    <w:link w:val="45"/>
    <w:autoRedefine/>
    <w:qFormat/>
    <w:uiPriority w:val="0"/>
    <w:rPr>
      <w:rFonts w:eastAsia="黑体" w:asciiTheme="majorHAnsi" w:hAnsiTheme="majorHAnsi" w:cstheme="majorBidi"/>
      <w:b w:val="0"/>
      <w:sz w:val="32"/>
      <w:szCs w:val="32"/>
    </w:rPr>
  </w:style>
  <w:style w:type="character" w:customStyle="1" w:styleId="47">
    <w:name w:val="段 字符"/>
    <w:basedOn w:val="22"/>
    <w:link w:val="42"/>
    <w:autoRedefine/>
    <w:qFormat/>
    <w:uiPriority w:val="0"/>
    <w:rPr>
      <w:rFonts w:ascii="Times New Roman" w:hAnsi="Times New Roman" w:eastAsia="宋体" w:cs="Calibri"/>
      <w:szCs w:val="21"/>
    </w:rPr>
  </w:style>
  <w:style w:type="paragraph" w:customStyle="1" w:styleId="48">
    <w:name w:val="标准文件_二级条标题"/>
    <w:next w:val="41"/>
    <w:link w:val="66"/>
    <w:autoRedefine/>
    <w:qFormat/>
    <w:uiPriority w:val="99"/>
    <w:pPr>
      <w:widowControl w:val="0"/>
      <w:numPr>
        <w:ilvl w:val="3"/>
        <w:numId w:val="1"/>
      </w:numPr>
      <w:jc w:val="both"/>
      <w:outlineLvl w:val="2"/>
    </w:pPr>
    <w:rPr>
      <w:rFonts w:ascii="黑体" w:hAnsi="Times New Roman" w:eastAsia="黑体" w:cs="黑体"/>
      <w:kern w:val="0"/>
      <w:sz w:val="21"/>
      <w:szCs w:val="21"/>
      <w:lang w:val="en-US" w:eastAsia="zh-CN" w:bidi="ar-SA"/>
    </w:rPr>
  </w:style>
  <w:style w:type="paragraph" w:customStyle="1" w:styleId="49">
    <w:name w:val="标准文件_三级条标题"/>
    <w:basedOn w:val="48"/>
    <w:next w:val="41"/>
    <w:link w:val="78"/>
    <w:autoRedefine/>
    <w:qFormat/>
    <w:uiPriority w:val="99"/>
    <w:pPr>
      <w:widowControl/>
      <w:numPr>
        <w:ilvl w:val="4"/>
      </w:numPr>
      <w:outlineLvl w:val="3"/>
    </w:pPr>
  </w:style>
  <w:style w:type="paragraph" w:customStyle="1" w:styleId="50">
    <w:name w:val="标准文件_四级条标题"/>
    <w:next w:val="41"/>
    <w:autoRedefine/>
    <w:qFormat/>
    <w:uiPriority w:val="99"/>
    <w:pPr>
      <w:widowControl w:val="0"/>
      <w:numPr>
        <w:ilvl w:val="5"/>
        <w:numId w:val="1"/>
      </w:numPr>
      <w:jc w:val="both"/>
      <w:outlineLvl w:val="4"/>
    </w:pPr>
    <w:rPr>
      <w:rFonts w:ascii="黑体" w:hAnsi="Times New Roman" w:eastAsia="黑体" w:cs="黑体"/>
      <w:kern w:val="0"/>
      <w:sz w:val="21"/>
      <w:szCs w:val="21"/>
      <w:lang w:val="en-US" w:eastAsia="zh-CN" w:bidi="ar-SA"/>
    </w:rPr>
  </w:style>
  <w:style w:type="paragraph" w:customStyle="1" w:styleId="51">
    <w:name w:val="标准文件_五级条标题"/>
    <w:next w:val="41"/>
    <w:autoRedefine/>
    <w:qFormat/>
    <w:uiPriority w:val="99"/>
    <w:pPr>
      <w:widowControl w:val="0"/>
      <w:numPr>
        <w:ilvl w:val="6"/>
        <w:numId w:val="1"/>
      </w:numPr>
      <w:jc w:val="both"/>
      <w:outlineLvl w:val="5"/>
    </w:pPr>
    <w:rPr>
      <w:rFonts w:ascii="黑体" w:hAnsi="Times New Roman" w:eastAsia="黑体" w:cs="黑体"/>
      <w:kern w:val="0"/>
      <w:sz w:val="21"/>
      <w:szCs w:val="21"/>
      <w:lang w:val="en-US" w:eastAsia="zh-CN" w:bidi="ar-SA"/>
    </w:rPr>
  </w:style>
  <w:style w:type="paragraph" w:customStyle="1" w:styleId="52">
    <w:name w:val="标准文件_一级条标题"/>
    <w:basedOn w:val="40"/>
    <w:next w:val="41"/>
    <w:link w:val="58"/>
    <w:autoRedefine/>
    <w:qFormat/>
    <w:uiPriority w:val="99"/>
    <w:pPr>
      <w:numPr>
        <w:ilvl w:val="2"/>
      </w:numPr>
      <w:spacing w:beforeLines="0" w:afterLines="0"/>
      <w:outlineLvl w:val="1"/>
    </w:pPr>
  </w:style>
  <w:style w:type="paragraph" w:customStyle="1" w:styleId="53">
    <w:name w:val="前言标题"/>
    <w:next w:val="1"/>
    <w:autoRedefine/>
    <w:qFormat/>
    <w:uiPriority w:val="99"/>
    <w:pPr>
      <w:numPr>
        <w:ilvl w:val="0"/>
        <w:numId w:val="1"/>
      </w:numPr>
      <w:shd w:val="clear" w:color="FFFFFF" w:fill="FFFFFF"/>
      <w:spacing w:before="540"/>
      <w:jc w:val="center"/>
      <w:outlineLvl w:val="0"/>
    </w:pPr>
    <w:rPr>
      <w:rFonts w:ascii="黑体" w:hAnsi="Times New Roman" w:eastAsia="黑体" w:cs="黑体"/>
      <w:kern w:val="0"/>
      <w:sz w:val="32"/>
      <w:szCs w:val="32"/>
      <w:lang w:val="en-US" w:eastAsia="zh-CN" w:bidi="ar-SA"/>
    </w:rPr>
  </w:style>
  <w:style w:type="paragraph" w:styleId="54">
    <w:name w:val="List Paragraph"/>
    <w:basedOn w:val="1"/>
    <w:link w:val="72"/>
    <w:autoRedefine/>
    <w:qFormat/>
    <w:uiPriority w:val="99"/>
    <w:pPr>
      <w:adjustRightInd/>
      <w:spacing w:line="240" w:lineRule="auto"/>
      <w:ind w:firstLine="420" w:firstLineChars="200"/>
    </w:pPr>
  </w:style>
  <w:style w:type="paragraph" w:customStyle="1" w:styleId="55">
    <w:name w:val="一级条标题"/>
    <w:basedOn w:val="52"/>
    <w:next w:val="42"/>
    <w:link w:val="59"/>
    <w:autoRedefine/>
    <w:qFormat/>
    <w:uiPriority w:val="0"/>
    <w:pPr>
      <w:spacing w:before="156" w:beforeLines="50" w:after="156" w:afterLines="50"/>
    </w:pPr>
    <w:rPr>
      <w:rFonts w:ascii="Times New Roman"/>
    </w:rPr>
  </w:style>
  <w:style w:type="character" w:customStyle="1" w:styleId="56">
    <w:name w:val="1章标题 字符"/>
    <w:basedOn w:val="22"/>
    <w:link w:val="40"/>
    <w:autoRedefine/>
    <w:qFormat/>
    <w:uiPriority w:val="99"/>
    <w:rPr>
      <w:rFonts w:ascii="黑体" w:hAnsi="Times New Roman" w:eastAsia="黑体" w:cs="黑体"/>
      <w:kern w:val="0"/>
      <w:szCs w:val="21"/>
    </w:rPr>
  </w:style>
  <w:style w:type="character" w:customStyle="1" w:styleId="57">
    <w:name w:val="章标题 字符"/>
    <w:basedOn w:val="56"/>
    <w:link w:val="39"/>
    <w:autoRedefine/>
    <w:qFormat/>
    <w:uiPriority w:val="0"/>
    <w:rPr>
      <w:rFonts w:ascii="Times New Roman" w:hAnsi="Times New Roman" w:eastAsia="黑体" w:cs="黑体"/>
      <w:kern w:val="0"/>
      <w:szCs w:val="21"/>
    </w:rPr>
  </w:style>
  <w:style w:type="character" w:customStyle="1" w:styleId="58">
    <w:name w:val="标准文件_一级条标题 字符"/>
    <w:basedOn w:val="56"/>
    <w:link w:val="52"/>
    <w:autoRedefine/>
    <w:qFormat/>
    <w:uiPriority w:val="99"/>
    <w:rPr>
      <w:rFonts w:ascii="黑体" w:hAnsi="Times New Roman" w:eastAsia="黑体" w:cs="黑体"/>
      <w:kern w:val="0"/>
      <w:szCs w:val="21"/>
    </w:rPr>
  </w:style>
  <w:style w:type="character" w:customStyle="1" w:styleId="59">
    <w:name w:val="一级条标题 字符"/>
    <w:basedOn w:val="58"/>
    <w:link w:val="55"/>
    <w:autoRedefine/>
    <w:qFormat/>
    <w:uiPriority w:val="0"/>
    <w:rPr>
      <w:rFonts w:ascii="Times New Roman" w:hAnsi="Times New Roman" w:eastAsia="黑体" w:cs="黑体"/>
      <w:kern w:val="0"/>
      <w:szCs w:val="21"/>
    </w:rPr>
  </w:style>
  <w:style w:type="paragraph" w:customStyle="1" w:styleId="60">
    <w:name w:val="术语"/>
    <w:basedOn w:val="42"/>
    <w:next w:val="42"/>
    <w:link w:val="62"/>
    <w:autoRedefine/>
    <w:qFormat/>
    <w:uiPriority w:val="0"/>
    <w:rPr>
      <w:rFonts w:eastAsia="黑体"/>
    </w:rPr>
  </w:style>
  <w:style w:type="character" w:customStyle="1" w:styleId="61">
    <w:name w:val="段 Char"/>
    <w:autoRedefine/>
    <w:qFormat/>
    <w:uiPriority w:val="0"/>
    <w:rPr>
      <w:rFonts w:ascii="宋体"/>
      <w:sz w:val="21"/>
      <w:lang w:val="en-US" w:eastAsia="zh-CN" w:bidi="ar-SA"/>
    </w:rPr>
  </w:style>
  <w:style w:type="character" w:customStyle="1" w:styleId="62">
    <w:name w:val="术语 字符"/>
    <w:basedOn w:val="47"/>
    <w:link w:val="60"/>
    <w:autoRedefine/>
    <w:qFormat/>
    <w:uiPriority w:val="0"/>
    <w:rPr>
      <w:rFonts w:ascii="Times New Roman" w:hAnsi="Times New Roman" w:eastAsia="黑体" w:cs="Calibri"/>
      <w:szCs w:val="21"/>
    </w:rPr>
  </w:style>
  <w:style w:type="paragraph" w:customStyle="1" w:styleId="63">
    <w:name w:val="注"/>
    <w:basedOn w:val="42"/>
    <w:next w:val="42"/>
    <w:link w:val="65"/>
    <w:autoRedefine/>
    <w:qFormat/>
    <w:uiPriority w:val="0"/>
    <w:pPr>
      <w:widowControl/>
      <w:tabs>
        <w:tab w:val="center" w:pos="4201"/>
        <w:tab w:val="right" w:leader="dot" w:pos="9298"/>
      </w:tabs>
      <w:autoSpaceDE w:val="0"/>
      <w:autoSpaceDN w:val="0"/>
      <w:adjustRightInd/>
      <w:ind w:firstLine="360"/>
    </w:pPr>
    <w:rPr>
      <w:rFonts w:eastAsia="黑体" w:cs="Times New Roman"/>
      <w:kern w:val="0"/>
      <w:sz w:val="18"/>
      <w:szCs w:val="18"/>
    </w:rPr>
  </w:style>
  <w:style w:type="paragraph" w:customStyle="1" w:styleId="64">
    <w:name w:val="二级条标题"/>
    <w:basedOn w:val="48"/>
    <w:next w:val="42"/>
    <w:link w:val="67"/>
    <w:autoRedefine/>
    <w:qFormat/>
    <w:uiPriority w:val="0"/>
    <w:pPr>
      <w:spacing w:before="50" w:beforeLines="50" w:after="50" w:afterLines="50"/>
    </w:pPr>
    <w:rPr>
      <w:rFonts w:ascii="Times New Roman"/>
    </w:rPr>
  </w:style>
  <w:style w:type="character" w:customStyle="1" w:styleId="65">
    <w:name w:val="注 字符"/>
    <w:basedOn w:val="47"/>
    <w:link w:val="63"/>
    <w:autoRedefine/>
    <w:qFormat/>
    <w:uiPriority w:val="0"/>
    <w:rPr>
      <w:rFonts w:ascii="Times New Roman" w:hAnsi="Times New Roman" w:eastAsia="黑体" w:cs="Times New Roman"/>
      <w:kern w:val="0"/>
      <w:sz w:val="18"/>
      <w:szCs w:val="18"/>
    </w:rPr>
  </w:style>
  <w:style w:type="character" w:customStyle="1" w:styleId="66">
    <w:name w:val="标准文件_二级条标题 字符"/>
    <w:basedOn w:val="22"/>
    <w:link w:val="48"/>
    <w:autoRedefine/>
    <w:qFormat/>
    <w:uiPriority w:val="99"/>
    <w:rPr>
      <w:rFonts w:ascii="黑体" w:hAnsi="Times New Roman" w:eastAsia="黑体" w:cs="黑体"/>
      <w:kern w:val="0"/>
      <w:szCs w:val="21"/>
    </w:rPr>
  </w:style>
  <w:style w:type="character" w:customStyle="1" w:styleId="67">
    <w:name w:val="二级条标题 字符"/>
    <w:basedOn w:val="66"/>
    <w:link w:val="64"/>
    <w:autoRedefine/>
    <w:qFormat/>
    <w:uiPriority w:val="0"/>
    <w:rPr>
      <w:rFonts w:ascii="Times New Roman" w:hAnsi="Times New Roman" w:eastAsia="黑体" w:cs="黑体"/>
      <w:kern w:val="0"/>
      <w:szCs w:val="21"/>
    </w:rPr>
  </w:style>
  <w:style w:type="paragraph" w:customStyle="1" w:styleId="68">
    <w:name w:val="正文图题"/>
    <w:basedOn w:val="17"/>
    <w:next w:val="42"/>
    <w:link w:val="71"/>
    <w:autoRedefine/>
    <w:qFormat/>
    <w:uiPriority w:val="0"/>
    <w:pPr>
      <w:numPr>
        <w:ilvl w:val="0"/>
        <w:numId w:val="2"/>
      </w:numPr>
      <w:spacing w:before="50" w:beforeLines="50" w:after="50" w:afterLines="50" w:line="240" w:lineRule="auto"/>
      <w:ind w:left="0" w:leftChars="0" w:firstLine="0" w:firstLineChars="0"/>
      <w:jc w:val="center"/>
    </w:pPr>
    <w:rPr>
      <w:rFonts w:ascii="Times New Roman" w:hAnsi="Times New Roman" w:eastAsia="黑体"/>
    </w:rPr>
  </w:style>
  <w:style w:type="paragraph" w:customStyle="1" w:styleId="69">
    <w:name w:val="字母列项"/>
    <w:basedOn w:val="54"/>
    <w:next w:val="42"/>
    <w:link w:val="73"/>
    <w:autoRedefine/>
    <w:qFormat/>
    <w:uiPriority w:val="0"/>
    <w:pPr>
      <w:numPr>
        <w:ilvl w:val="0"/>
        <w:numId w:val="3"/>
      </w:numPr>
      <w:ind w:left="777" w:hanging="357" w:firstLineChars="0"/>
      <w:jc w:val="left"/>
    </w:pPr>
    <w:rPr>
      <w:rFonts w:ascii="Times New Roman" w:hAnsi="Times New Roman" w:cs="宋体"/>
      <w:kern w:val="0"/>
    </w:rPr>
  </w:style>
  <w:style w:type="character" w:customStyle="1" w:styleId="70">
    <w:name w:val="图表目录 字符"/>
    <w:basedOn w:val="22"/>
    <w:link w:val="17"/>
    <w:autoRedefine/>
    <w:semiHidden/>
    <w:qFormat/>
    <w:uiPriority w:val="99"/>
    <w:rPr>
      <w:rFonts w:ascii="Calibri" w:hAnsi="Calibri" w:eastAsia="宋体" w:cs="Calibri"/>
      <w:szCs w:val="21"/>
    </w:rPr>
  </w:style>
  <w:style w:type="character" w:customStyle="1" w:styleId="71">
    <w:name w:val="正文图题 字符"/>
    <w:basedOn w:val="70"/>
    <w:link w:val="68"/>
    <w:autoRedefine/>
    <w:qFormat/>
    <w:uiPriority w:val="0"/>
    <w:rPr>
      <w:rFonts w:ascii="Times New Roman" w:hAnsi="Times New Roman" w:eastAsia="黑体" w:cs="Calibri"/>
      <w:szCs w:val="21"/>
    </w:rPr>
  </w:style>
  <w:style w:type="character" w:customStyle="1" w:styleId="72">
    <w:name w:val="列表段落 字符"/>
    <w:basedOn w:val="22"/>
    <w:link w:val="54"/>
    <w:autoRedefine/>
    <w:qFormat/>
    <w:uiPriority w:val="99"/>
    <w:rPr>
      <w:rFonts w:ascii="Calibri" w:hAnsi="Calibri" w:eastAsia="宋体" w:cs="Calibri"/>
      <w:szCs w:val="21"/>
    </w:rPr>
  </w:style>
  <w:style w:type="character" w:customStyle="1" w:styleId="73">
    <w:name w:val="字母列项 字符"/>
    <w:basedOn w:val="72"/>
    <w:link w:val="69"/>
    <w:autoRedefine/>
    <w:qFormat/>
    <w:uiPriority w:val="0"/>
    <w:rPr>
      <w:rFonts w:ascii="Times New Roman" w:hAnsi="Times New Roman" w:eastAsia="宋体" w:cs="宋体"/>
      <w:kern w:val="0"/>
      <w:szCs w:val="21"/>
    </w:rPr>
  </w:style>
  <w:style w:type="paragraph" w:customStyle="1" w:styleId="74">
    <w:name w:val="正文表标题"/>
    <w:basedOn w:val="68"/>
    <w:next w:val="42"/>
    <w:link w:val="76"/>
    <w:autoRedefine/>
    <w:qFormat/>
    <w:uiPriority w:val="0"/>
    <w:pPr>
      <w:numPr>
        <w:numId w:val="4"/>
      </w:numPr>
      <w:ind w:left="0" w:firstLine="0"/>
    </w:pPr>
  </w:style>
  <w:style w:type="paragraph" w:customStyle="1" w:styleId="75">
    <w:name w:val="三级条标题"/>
    <w:basedOn w:val="49"/>
    <w:next w:val="42"/>
    <w:link w:val="79"/>
    <w:autoRedefine/>
    <w:qFormat/>
    <w:uiPriority w:val="0"/>
    <w:pPr>
      <w:spacing w:before="156" w:beforeLines="50" w:after="156" w:afterLines="50"/>
    </w:pPr>
    <w:rPr>
      <w:rFonts w:ascii="Times New Roman"/>
    </w:rPr>
  </w:style>
  <w:style w:type="character" w:customStyle="1" w:styleId="76">
    <w:name w:val="正文表标题 字符"/>
    <w:basedOn w:val="71"/>
    <w:link w:val="74"/>
    <w:autoRedefine/>
    <w:qFormat/>
    <w:uiPriority w:val="0"/>
    <w:rPr>
      <w:rFonts w:ascii="Times New Roman" w:hAnsi="Times New Roman" w:eastAsia="黑体" w:cs="Calibri"/>
      <w:szCs w:val="21"/>
    </w:rPr>
  </w:style>
  <w:style w:type="paragraph" w:customStyle="1" w:styleId="77">
    <w:name w:val="列项（——）"/>
    <w:basedOn w:val="1"/>
    <w:link w:val="81"/>
    <w:autoRedefine/>
    <w:qFormat/>
    <w:uiPriority w:val="0"/>
    <w:pPr>
      <w:widowControl/>
      <w:tabs>
        <w:tab w:val="center" w:pos="4201"/>
        <w:tab w:val="right" w:leader="dot" w:pos="9298"/>
      </w:tabs>
      <w:autoSpaceDE w:val="0"/>
      <w:autoSpaceDN w:val="0"/>
      <w:adjustRightInd/>
      <w:spacing w:line="240" w:lineRule="auto"/>
      <w:ind w:left="400" w:leftChars="200" w:hanging="200" w:hangingChars="200"/>
    </w:pPr>
    <w:rPr>
      <w:rFonts w:ascii="Times New Roman" w:hAnsi="Times New Roman" w:cs="黑体"/>
      <w:kern w:val="0"/>
    </w:rPr>
  </w:style>
  <w:style w:type="character" w:customStyle="1" w:styleId="78">
    <w:name w:val="标准文件_三级条标题 字符"/>
    <w:basedOn w:val="66"/>
    <w:link w:val="49"/>
    <w:autoRedefine/>
    <w:qFormat/>
    <w:uiPriority w:val="99"/>
    <w:rPr>
      <w:rFonts w:ascii="黑体" w:hAnsi="Times New Roman" w:eastAsia="黑体" w:cs="黑体"/>
      <w:kern w:val="0"/>
      <w:szCs w:val="21"/>
    </w:rPr>
  </w:style>
  <w:style w:type="character" w:customStyle="1" w:styleId="79">
    <w:name w:val="三级条标题 字符"/>
    <w:basedOn w:val="78"/>
    <w:link w:val="75"/>
    <w:autoRedefine/>
    <w:qFormat/>
    <w:uiPriority w:val="0"/>
    <w:rPr>
      <w:rFonts w:ascii="Times New Roman" w:hAnsi="Times New Roman" w:eastAsia="黑体" w:cs="黑体"/>
      <w:kern w:val="0"/>
      <w:szCs w:val="21"/>
    </w:rPr>
  </w:style>
  <w:style w:type="table" w:customStyle="1" w:styleId="80">
    <w:name w:val="网格型1"/>
    <w:basedOn w:val="20"/>
    <w:autoRedefine/>
    <w:qFormat/>
    <w:uiPriority w:val="9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1">
    <w:name w:val="列项（——） 字符"/>
    <w:basedOn w:val="22"/>
    <w:link w:val="77"/>
    <w:autoRedefine/>
    <w:qFormat/>
    <w:uiPriority w:val="0"/>
    <w:rPr>
      <w:rFonts w:ascii="Times New Roman" w:hAnsi="Times New Roman" w:eastAsia="宋体" w:cs="黑体"/>
      <w:kern w:val="0"/>
      <w:szCs w:val="21"/>
      <w:lang w:val="en-US" w:eastAsia="zh-CN"/>
    </w:rPr>
  </w:style>
  <w:style w:type="paragraph" w:customStyle="1" w:styleId="82">
    <w:name w:val="正文公式"/>
    <w:basedOn w:val="1"/>
    <w:link w:val="84"/>
    <w:autoRedefine/>
    <w:qFormat/>
    <w:uiPriority w:val="0"/>
    <w:pPr>
      <w:tabs>
        <w:tab w:val="center" w:pos="2520"/>
        <w:tab w:val="right" w:pos="5040"/>
      </w:tabs>
      <w:adjustRightInd/>
      <w:spacing w:line="240" w:lineRule="auto"/>
      <w:jc w:val="center"/>
    </w:pPr>
    <w:rPr>
      <w:rFonts w:ascii="宋体" w:hAnsi="宋体" w:cs="宋体"/>
      <w:szCs w:val="18"/>
    </w:rPr>
  </w:style>
  <w:style w:type="paragraph" w:customStyle="1" w:styleId="83">
    <w:name w:val="正文公式1"/>
    <w:basedOn w:val="42"/>
    <w:next w:val="42"/>
    <w:autoRedefine/>
    <w:qFormat/>
    <w:uiPriority w:val="0"/>
    <w:pPr>
      <w:tabs>
        <w:tab w:val="center" w:pos="4200"/>
        <w:tab w:val="right" w:leader="dot" w:pos="9030"/>
      </w:tabs>
      <w:ind w:firstLine="0" w:firstLineChars="0"/>
      <w:jc w:val="left"/>
    </w:pPr>
  </w:style>
  <w:style w:type="character" w:customStyle="1" w:styleId="84">
    <w:name w:val="正文公式 字符"/>
    <w:basedOn w:val="22"/>
    <w:link w:val="82"/>
    <w:autoRedefine/>
    <w:qFormat/>
    <w:uiPriority w:val="0"/>
    <w:rPr>
      <w:rFonts w:ascii="宋体" w:hAnsi="宋体" w:eastAsia="宋体" w:cs="宋体"/>
      <w:szCs w:val="18"/>
    </w:rPr>
  </w:style>
  <w:style w:type="character" w:customStyle="1" w:styleId="85">
    <w:name w:val="批注文字 字符1"/>
    <w:link w:val="11"/>
    <w:autoRedefine/>
    <w:qFormat/>
    <w:uiPriority w:val="0"/>
    <w:rPr>
      <w:szCs w:val="24"/>
    </w:rPr>
  </w:style>
  <w:style w:type="character" w:customStyle="1" w:styleId="86">
    <w:name w:val="批注文字 字符"/>
    <w:basedOn w:val="22"/>
    <w:autoRedefine/>
    <w:semiHidden/>
    <w:qFormat/>
    <w:uiPriority w:val="99"/>
    <w:rPr>
      <w:rFonts w:ascii="Calibri" w:hAnsi="Calibri" w:eastAsia="宋体" w:cs="Calibri"/>
      <w:szCs w:val="21"/>
    </w:rPr>
  </w:style>
  <w:style w:type="paragraph" w:customStyle="1" w:styleId="87">
    <w:name w:val="附录标识"/>
    <w:basedOn w:val="1"/>
    <w:next w:val="42"/>
    <w:link w:val="90"/>
    <w:autoRedefine/>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cs="Times New Roman"/>
      <w:kern w:val="0"/>
      <w:szCs w:val="20"/>
    </w:rPr>
  </w:style>
  <w:style w:type="paragraph" w:customStyle="1" w:styleId="88">
    <w:name w:val="附录标题"/>
    <w:basedOn w:val="87"/>
    <w:next w:val="42"/>
    <w:link w:val="91"/>
    <w:autoRedefine/>
    <w:qFormat/>
    <w:uiPriority w:val="0"/>
    <w:pPr>
      <w:numPr>
        <w:ilvl w:val="0"/>
        <w:numId w:val="5"/>
      </w:numPr>
      <w:spacing w:after="360" w:line="360" w:lineRule="exact"/>
    </w:pPr>
  </w:style>
  <w:style w:type="paragraph" w:customStyle="1" w:styleId="89">
    <w:name w:val="附录章标题"/>
    <w:basedOn w:val="88"/>
    <w:next w:val="42"/>
    <w:link w:val="93"/>
    <w:autoRedefine/>
    <w:qFormat/>
    <w:uiPriority w:val="0"/>
    <w:pPr>
      <w:numPr>
        <w:ilvl w:val="1"/>
      </w:numPr>
      <w:tabs>
        <w:tab w:val="clear" w:pos="360"/>
        <w:tab w:val="clear" w:pos="6405"/>
      </w:tabs>
      <w:spacing w:before="100" w:beforeLines="100" w:after="100" w:afterLines="100" w:line="240" w:lineRule="auto"/>
      <w:jc w:val="left"/>
    </w:pPr>
  </w:style>
  <w:style w:type="character" w:customStyle="1" w:styleId="90">
    <w:name w:val="附录标识 字符"/>
    <w:basedOn w:val="22"/>
    <w:link w:val="87"/>
    <w:autoRedefine/>
    <w:qFormat/>
    <w:uiPriority w:val="0"/>
    <w:rPr>
      <w:rFonts w:ascii="黑体" w:hAnsi="Times New Roman" w:eastAsia="黑体" w:cs="Times New Roman"/>
      <w:kern w:val="0"/>
      <w:szCs w:val="20"/>
      <w:shd w:val="clear" w:color="FFFFFF" w:fill="FFFFFF"/>
    </w:rPr>
  </w:style>
  <w:style w:type="character" w:customStyle="1" w:styleId="91">
    <w:name w:val="附录标题 字符"/>
    <w:basedOn w:val="90"/>
    <w:link w:val="88"/>
    <w:autoRedefine/>
    <w:qFormat/>
    <w:uiPriority w:val="0"/>
    <w:rPr>
      <w:rFonts w:ascii="黑体" w:hAnsi="Times New Roman" w:eastAsia="黑体" w:cs="Times New Roman"/>
      <w:kern w:val="0"/>
      <w:szCs w:val="20"/>
      <w:shd w:val="clear" w:color="FFFFFF" w:fill="FFFFFF"/>
    </w:rPr>
  </w:style>
  <w:style w:type="paragraph" w:customStyle="1" w:styleId="92">
    <w:name w:val="标准文件_正文图标题"/>
    <w:next w:val="1"/>
    <w:autoRedefine/>
    <w:qFormat/>
    <w:uiPriority w:val="99"/>
    <w:pPr>
      <w:numPr>
        <w:ilvl w:val="0"/>
        <w:numId w:val="6"/>
      </w:numPr>
      <w:jc w:val="center"/>
    </w:pPr>
    <w:rPr>
      <w:rFonts w:ascii="黑体" w:hAnsi="Times New Roman" w:eastAsia="黑体" w:cs="黑体"/>
      <w:kern w:val="0"/>
      <w:sz w:val="21"/>
      <w:szCs w:val="21"/>
      <w:lang w:val="en-US" w:eastAsia="zh-CN" w:bidi="ar-SA"/>
    </w:rPr>
  </w:style>
  <w:style w:type="character" w:customStyle="1" w:styleId="93">
    <w:name w:val="附录章标题 字符"/>
    <w:basedOn w:val="91"/>
    <w:link w:val="89"/>
    <w:qFormat/>
    <w:uiPriority w:val="0"/>
    <w:rPr>
      <w:rFonts w:ascii="黑体" w:hAnsi="Times New Roman" w:eastAsia="黑体" w:cs="Times New Roman"/>
      <w:kern w:val="0"/>
      <w:szCs w:val="20"/>
      <w:shd w:val="clear" w:color="FFFFFF" w:fill="FFFFFF"/>
    </w:rPr>
  </w:style>
  <w:style w:type="paragraph" w:customStyle="1" w:styleId="94">
    <w:name w:val="正文图标题"/>
    <w:next w:val="42"/>
    <w:autoRedefine/>
    <w:qFormat/>
    <w:uiPriority w:val="99"/>
    <w:pPr>
      <w:tabs>
        <w:tab w:val="left" w:pos="360"/>
      </w:tabs>
      <w:spacing w:beforeLines="50" w:afterLines="50"/>
      <w:ind w:left="823" w:hanging="420"/>
      <w:jc w:val="center"/>
    </w:pPr>
    <w:rPr>
      <w:rFonts w:ascii="黑体" w:hAnsi="Times New Roman" w:eastAsia="黑体" w:cs="黑体"/>
      <w:kern w:val="0"/>
      <w:sz w:val="21"/>
      <w:szCs w:val="21"/>
      <w:lang w:val="en-US" w:eastAsia="zh-CN" w:bidi="ar-SA"/>
    </w:rPr>
  </w:style>
  <w:style w:type="paragraph" w:customStyle="1" w:styleId="95">
    <w:name w:val="标准称谓"/>
    <w:next w:val="1"/>
    <w:autoRedefine/>
    <w:qFormat/>
    <w:uiPriority w:val="99"/>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w w:val="148"/>
      <w:kern w:val="0"/>
      <w:sz w:val="52"/>
      <w:szCs w:val="52"/>
      <w:lang w:val="en-US" w:eastAsia="zh-CN" w:bidi="ar-SA"/>
    </w:rPr>
  </w:style>
  <w:style w:type="paragraph" w:customStyle="1" w:styleId="96">
    <w:name w:val="标准文件_页脚偶数页"/>
    <w:autoRedefine/>
    <w:qFormat/>
    <w:uiPriority w:val="99"/>
    <w:rPr>
      <w:rFonts w:ascii="宋体" w:hAnsi="Times New Roman" w:eastAsia="宋体" w:cs="宋体"/>
      <w:kern w:val="0"/>
      <w:sz w:val="18"/>
      <w:szCs w:val="18"/>
      <w:lang w:val="en-US" w:eastAsia="zh-CN" w:bidi="ar-SA"/>
    </w:rPr>
  </w:style>
  <w:style w:type="paragraph" w:customStyle="1" w:styleId="97">
    <w:name w:val="附录一级条标题"/>
    <w:basedOn w:val="89"/>
    <w:next w:val="42"/>
    <w:link w:val="98"/>
    <w:autoRedefine/>
    <w:qFormat/>
    <w:uiPriority w:val="0"/>
    <w:pPr>
      <w:numPr>
        <w:ilvl w:val="2"/>
      </w:numPr>
      <w:spacing w:before="156" w:beforeLines="50" w:after="156" w:afterLines="50"/>
    </w:pPr>
  </w:style>
  <w:style w:type="character" w:customStyle="1" w:styleId="98">
    <w:name w:val="附录一级条标题 字符"/>
    <w:basedOn w:val="93"/>
    <w:link w:val="97"/>
    <w:autoRedefine/>
    <w:qFormat/>
    <w:uiPriority w:val="0"/>
    <w:rPr>
      <w:rFonts w:ascii="黑体" w:hAnsi="Times New Roman" w:eastAsia="黑体" w:cs="Times New Roman"/>
      <w:kern w:val="0"/>
      <w:szCs w:val="20"/>
      <w:shd w:val="clear" w:color="FFFFFF" w:fill="FFFFFF"/>
    </w:rPr>
  </w:style>
  <w:style w:type="paragraph" w:customStyle="1" w:styleId="99">
    <w:name w:val="附录图标题"/>
    <w:basedOn w:val="88"/>
    <w:next w:val="42"/>
    <w:link w:val="101"/>
    <w:autoRedefine/>
    <w:qFormat/>
    <w:uiPriority w:val="0"/>
    <w:pPr>
      <w:numPr>
        <w:ilvl w:val="0"/>
        <w:numId w:val="7"/>
      </w:numPr>
      <w:spacing w:before="50" w:beforeLines="50" w:after="50" w:afterLines="50" w:line="240" w:lineRule="auto"/>
    </w:pPr>
    <w:rPr>
      <w:rFonts w:ascii="Times New Roman"/>
    </w:rPr>
  </w:style>
  <w:style w:type="paragraph" w:customStyle="1" w:styleId="100">
    <w:name w:val="附录表标题"/>
    <w:basedOn w:val="1"/>
    <w:next w:val="42"/>
    <w:autoRedefine/>
    <w:qFormat/>
    <w:uiPriority w:val="0"/>
    <w:pPr>
      <w:tabs>
        <w:tab w:val="left" w:pos="180"/>
      </w:tabs>
      <w:adjustRightInd/>
      <w:spacing w:beforeLines="50" w:afterLines="50" w:line="240" w:lineRule="auto"/>
      <w:jc w:val="center"/>
    </w:pPr>
    <w:rPr>
      <w:rFonts w:ascii="黑体" w:hAnsi="Times New Roman" w:eastAsia="黑体" w:cs="Times New Roman"/>
    </w:rPr>
  </w:style>
  <w:style w:type="character" w:customStyle="1" w:styleId="101">
    <w:name w:val="附录图标题 字符"/>
    <w:basedOn w:val="91"/>
    <w:link w:val="99"/>
    <w:qFormat/>
    <w:uiPriority w:val="0"/>
    <w:rPr>
      <w:rFonts w:ascii="Times New Roman" w:hAnsi="Times New Roman" w:eastAsia="黑体" w:cs="Times New Roman"/>
      <w:kern w:val="0"/>
      <w:szCs w:val="20"/>
      <w:shd w:val="clear" w:color="FFFFFF" w:fill="FFFFFF"/>
    </w:rPr>
  </w:style>
  <w:style w:type="paragraph" w:customStyle="1" w:styleId="102">
    <w:name w:val="样式1"/>
    <w:basedOn w:val="87"/>
    <w:next w:val="42"/>
    <w:link w:val="103"/>
    <w:uiPriority w:val="0"/>
    <w:pPr>
      <w:spacing w:before="312" w:after="312"/>
    </w:pPr>
  </w:style>
  <w:style w:type="character" w:customStyle="1" w:styleId="103">
    <w:name w:val="样式1 字符"/>
    <w:basedOn w:val="90"/>
    <w:link w:val="102"/>
    <w:uiPriority w:val="0"/>
    <w:rPr>
      <w:rFonts w:ascii="黑体" w:hAnsi="Times New Roman" w:eastAsia="黑体" w:cs="Times New Roman"/>
      <w:kern w:val="0"/>
      <w:szCs w:val="20"/>
      <w:shd w:val="clear" w:color="FFFFFF" w:fill="FFFFFF"/>
    </w:rPr>
  </w:style>
  <w:style w:type="paragraph" w:customStyle="1" w:styleId="104">
    <w:name w:val="附录图标题1"/>
    <w:basedOn w:val="16"/>
    <w:next w:val="42"/>
    <w:link w:val="106"/>
    <w:autoRedefine/>
    <w:qFormat/>
    <w:uiPriority w:val="0"/>
    <w:pPr>
      <w:spacing w:before="156" w:beforeLines="50" w:after="156" w:afterLines="50" w:line="240" w:lineRule="auto"/>
    </w:pPr>
    <w:rPr>
      <w:rFonts w:ascii="Times New Roman" w:hAnsi="Times New Roman" w:eastAsia="黑体"/>
      <w:b w:val="0"/>
      <w:sz w:val="21"/>
    </w:rPr>
  </w:style>
  <w:style w:type="paragraph" w:customStyle="1" w:styleId="105">
    <w:name w:val="附录表标题1"/>
    <w:basedOn w:val="104"/>
    <w:next w:val="42"/>
    <w:link w:val="107"/>
    <w:autoRedefine/>
    <w:qFormat/>
    <w:uiPriority w:val="0"/>
    <w:pPr>
      <w:spacing w:before="50" w:after="50"/>
    </w:pPr>
  </w:style>
  <w:style w:type="character" w:customStyle="1" w:styleId="106">
    <w:name w:val="附录图标题1 字符"/>
    <w:basedOn w:val="43"/>
    <w:link w:val="104"/>
    <w:qFormat/>
    <w:uiPriority w:val="0"/>
    <w:rPr>
      <w:rFonts w:ascii="Times New Roman" w:hAnsi="Times New Roman" w:eastAsia="黑体"/>
      <w:b w:val="0"/>
      <w:kern w:val="28"/>
      <w:sz w:val="32"/>
      <w:szCs w:val="32"/>
    </w:rPr>
  </w:style>
  <w:style w:type="character" w:customStyle="1" w:styleId="107">
    <w:name w:val="附录表标题1 字符"/>
    <w:basedOn w:val="106"/>
    <w:link w:val="105"/>
    <w:autoRedefine/>
    <w:qFormat/>
    <w:uiPriority w:val="0"/>
    <w:rPr>
      <w:rFonts w:ascii="Times New Roman" w:hAnsi="Times New Roman" w:eastAsia="黑体"/>
      <w:kern w:val="28"/>
      <w:sz w:val="32"/>
      <w:szCs w:val="32"/>
    </w:rPr>
  </w:style>
  <w:style w:type="paragraph" w:customStyle="1" w:styleId="108">
    <w:name w:val="参考文献、索引"/>
    <w:basedOn w:val="45"/>
    <w:next w:val="42"/>
    <w:link w:val="109"/>
    <w:qFormat/>
    <w:uiPriority w:val="0"/>
    <w:pPr>
      <w:spacing w:after="284"/>
    </w:pPr>
    <w:rPr>
      <w:rFonts w:ascii="黑体"/>
      <w:sz w:val="21"/>
    </w:rPr>
  </w:style>
  <w:style w:type="character" w:customStyle="1" w:styleId="109">
    <w:name w:val="参考文献、索引 字符"/>
    <w:basedOn w:val="46"/>
    <w:link w:val="108"/>
    <w:qFormat/>
    <w:uiPriority w:val="0"/>
    <w:rPr>
      <w:rFonts w:ascii="黑体" w:eastAsia="黑体" w:hAnsiTheme="majorHAnsi" w:cstheme="majorBidi"/>
      <w:sz w:val="32"/>
      <w:szCs w:val="32"/>
    </w:rPr>
  </w:style>
  <w:style w:type="character" w:customStyle="1" w:styleId="110">
    <w:name w:val="Unresolved Mention"/>
    <w:basedOn w:val="22"/>
    <w:semiHidden/>
    <w:unhideWhenUsed/>
    <w:qFormat/>
    <w:uiPriority w:val="99"/>
    <w:rPr>
      <w:color w:val="605E5C"/>
      <w:shd w:val="clear" w:color="auto" w:fill="E1DFDD"/>
    </w:rPr>
  </w:style>
  <w:style w:type="paragraph" w:customStyle="1" w:styleId="111">
    <w:name w:val="WPSOffice手动目录 1"/>
    <w:uiPriority w:val="0"/>
    <w:pPr>
      <w:ind w:leftChars="0"/>
    </w:pPr>
    <w:rPr>
      <w:rFonts w:asciiTheme="minorHAnsi" w:hAnsiTheme="minorHAnsi" w:eastAsiaTheme="minorEastAsia" w:cstheme="minorBidi"/>
      <w:sz w:val="20"/>
      <w:szCs w:val="20"/>
    </w:rPr>
  </w:style>
  <w:style w:type="paragraph" w:customStyle="1" w:styleId="112">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emf"/><Relationship Id="rId24" Type="http://schemas.openxmlformats.org/officeDocument/2006/relationships/oleObject" Target="embeddings/oleObject1.bin"/><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E1408-5573-4F73-A3E2-DB1BF869D927}">
  <ds:schemaRefs/>
</ds:datastoreItem>
</file>

<file path=docProps/app.xml><?xml version="1.0" encoding="utf-8"?>
<Properties xmlns="http://schemas.openxmlformats.org/officeDocument/2006/extended-properties" xmlns:vt="http://schemas.openxmlformats.org/officeDocument/2006/docPropsVTypes">
  <Template>Normal</Template>
  <Pages>21</Pages>
  <Words>1422</Words>
  <Characters>8106</Characters>
  <Lines>67</Lines>
  <Paragraphs>19</Paragraphs>
  <TotalTime>1</TotalTime>
  <ScaleCrop>false</ScaleCrop>
  <LinksUpToDate>false</LinksUpToDate>
  <CharactersWithSpaces>9509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2023-03-06T03:12:00Z</dcterms:created>
  <dc:creator>段彦芳</dc:creator>
  <cp:lastModifiedBy>魏敏</cp:lastModifiedBy>
  <cp:lastPrinted>2019-02-21T06:44:00Z</cp:lastPrinted>
  <dcterms:modified xsi:type="dcterms:W3CDTF">2024-03-29T05:35:24Z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1DDB86E762F64B6EBF29306FCAFD45A6_13</vt:lpwstr>
  </property>
</Properties>
</file>