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C2A3C">
      <w:pPr>
        <w:rPr>
          <w:rFonts w:ascii="Times New Roman" w:hAnsi="Times New Roman" w:eastAsia="黑体"/>
        </w:rPr>
      </w:pPr>
    </w:p>
    <w:p w14:paraId="19DD2A93">
      <w:pPr>
        <w:rPr>
          <w:rFonts w:ascii="Times New Roman" w:hAnsi="Times New Roman" w:eastAsia="黑体"/>
        </w:rPr>
        <w:sectPr>
          <w:headerReference r:id="rId7" w:type="first"/>
          <w:headerReference r:id="rId5" w:type="default"/>
          <w:footerReference r:id="rId8" w:type="default"/>
          <w:headerReference r:id="rId6" w:type="even"/>
          <w:footerReference r:id="rId9" w:type="even"/>
          <w:pgSz w:w="11906" w:h="16838"/>
          <w:pgMar w:top="567" w:right="1418" w:bottom="1134" w:left="1418" w:header="1418" w:footer="992" w:gutter="0"/>
          <w:cols w:space="425" w:num="1"/>
          <w:titlePg/>
          <w:docGrid w:type="lines" w:linePitch="312" w:charSpace="0"/>
        </w:sectPr>
      </w:pPr>
      <w:bookmarkStart w:id="199" w:name="_GoBack"/>
      <w:bookmarkEnd w:id="199"/>
      <w:r>
        <w:rPr>
          <w:rFonts w:ascii="Times New Roman" w:hAnsi="Times New Roman" w:eastAsia="黑体"/>
        </w:rPr>
        <mc:AlternateContent>
          <mc:Choice Requires="wpg">
            <w:drawing>
              <wp:anchor distT="0" distB="0" distL="114300" distR="114300" simplePos="0" relativeHeight="251661312" behindDoc="0" locked="0" layoutInCell="1" allowOverlap="1">
                <wp:simplePos x="0" y="0"/>
                <wp:positionH relativeFrom="column">
                  <wp:posOffset>-3810</wp:posOffset>
                </wp:positionH>
                <wp:positionV relativeFrom="paragraph">
                  <wp:posOffset>7620</wp:posOffset>
                </wp:positionV>
                <wp:extent cx="5819775" cy="8566785"/>
                <wp:effectExtent l="0" t="0" r="9525" b="5715"/>
                <wp:wrapSquare wrapText="bothSides"/>
                <wp:docPr id="7" name="组合 7"/>
                <wp:cNvGraphicFramePr/>
                <a:graphic xmlns:a="http://schemas.openxmlformats.org/drawingml/2006/main">
                  <a:graphicData uri="http://schemas.microsoft.com/office/word/2010/wordprocessingGroup">
                    <wpg:wgp>
                      <wpg:cNvGrpSpPr/>
                      <wpg:grpSpPr>
                        <a:xfrm>
                          <a:off x="0" y="0"/>
                          <a:ext cx="5819775" cy="8566785"/>
                          <a:chOff x="0" y="0"/>
                          <a:chExt cx="5820195" cy="9548393"/>
                        </a:xfrm>
                      </wpg:grpSpPr>
                      <wps:wsp>
                        <wps:cNvPr id="217" name="文本框 2"/>
                        <wps:cNvSpPr txBox="1">
                          <a:spLocks noChangeArrowheads="1"/>
                        </wps:cNvSpPr>
                        <wps:spPr bwMode="auto">
                          <a:xfrm>
                            <a:off x="0" y="0"/>
                            <a:ext cx="2361099" cy="497232"/>
                          </a:xfrm>
                          <a:prstGeom prst="rect">
                            <a:avLst/>
                          </a:prstGeom>
                          <a:noFill/>
                          <a:ln w="9525">
                            <a:noFill/>
                            <a:miter lim="800000"/>
                          </a:ln>
                        </wps:spPr>
                        <wps:txbx>
                          <w:txbxContent>
                            <w:p w14:paraId="3BEE8978">
                              <w:pPr>
                                <w:spacing w:line="240" w:lineRule="auto"/>
                                <w:outlineLvl w:val="0"/>
                                <w:rPr>
                                  <w:rFonts w:ascii="黑体" w:hAnsi="Times New Roman" w:eastAsia="黑体" w:cs="Times New Roman"/>
                                  <w:spacing w:val="10"/>
                                </w:rPr>
                              </w:pPr>
                              <w:bookmarkStart w:id="187" w:name="_Toc76030683"/>
                              <w:bookmarkStart w:id="188" w:name="_Toc75444049"/>
                              <w:bookmarkStart w:id="189" w:name="_Toc75969043"/>
                              <w:bookmarkStart w:id="190" w:name="_Toc75166217"/>
                              <w:bookmarkStart w:id="191" w:name="_Toc72998442"/>
                              <w:bookmarkStart w:id="192" w:name="_Toc195806930"/>
                              <w:r>
                                <w:rPr>
                                  <w:rFonts w:ascii="黑体" w:hAnsi="Times New Roman" w:eastAsia="黑体"/>
                                </w:rPr>
                                <w:t>ICS</w:t>
                              </w:r>
                              <w:r>
                                <w:rPr>
                                  <w:rFonts w:ascii="黑体" w:hAnsi="Times New Roman" w:eastAsia="黑体" w:cs="Times New Roman"/>
                                  <w:spacing w:val="10"/>
                                </w:rPr>
                                <w:t xml:space="preserve"> 67.260</w:t>
                              </w:r>
                              <w:bookmarkEnd w:id="187"/>
                              <w:bookmarkEnd w:id="188"/>
                              <w:bookmarkEnd w:id="189"/>
                              <w:bookmarkEnd w:id="190"/>
                              <w:bookmarkEnd w:id="191"/>
                              <w:bookmarkEnd w:id="192"/>
                            </w:p>
                            <w:p w14:paraId="491C8AEC">
                              <w:pPr>
                                <w:spacing w:line="240" w:lineRule="auto"/>
                                <w:outlineLvl w:val="0"/>
                                <w:rPr>
                                  <w:rFonts w:ascii="黑体" w:hAnsi="Times New Roman" w:eastAsia="黑体"/>
                                </w:rPr>
                              </w:pPr>
                              <w:bookmarkStart w:id="193" w:name="_Toc195806931"/>
                              <w:bookmarkStart w:id="194" w:name="_Toc75166218"/>
                              <w:bookmarkStart w:id="195" w:name="_Toc75969044"/>
                              <w:bookmarkStart w:id="196" w:name="_Toc76030684"/>
                              <w:bookmarkStart w:id="197" w:name="_Toc72998443"/>
                              <w:bookmarkStart w:id="198" w:name="_Toc75444050"/>
                              <w:r>
                                <w:rPr>
                                  <w:rFonts w:ascii="黑体" w:hAnsi="Times New Roman" w:eastAsia="黑体" w:cs="Times New Roman"/>
                                  <w:spacing w:val="10"/>
                                </w:rPr>
                                <w:t>X 99</w:t>
                              </w:r>
                              <w:bookmarkEnd w:id="193"/>
                              <w:bookmarkEnd w:id="194"/>
                              <w:bookmarkEnd w:id="195"/>
                              <w:bookmarkEnd w:id="196"/>
                              <w:bookmarkEnd w:id="197"/>
                              <w:bookmarkEnd w:id="198"/>
                            </w:p>
                          </w:txbxContent>
                        </wps:txbx>
                        <wps:bodyPr rot="0" vert="horz" wrap="square" lIns="91440" tIns="45720" rIns="91440" bIns="45720" anchor="t" anchorCtr="0">
                          <a:noAutofit/>
                        </wps:bodyPr>
                      </wps:wsp>
                      <wps:wsp>
                        <wps:cNvPr id="82" name="文本框 2"/>
                        <wps:cNvSpPr txBox="1">
                          <a:spLocks noChangeArrowheads="1"/>
                        </wps:cNvSpPr>
                        <wps:spPr bwMode="auto">
                          <a:xfrm>
                            <a:off x="12357" y="840259"/>
                            <a:ext cx="5734050" cy="892810"/>
                          </a:xfrm>
                          <a:prstGeom prst="rect">
                            <a:avLst/>
                          </a:prstGeom>
                          <a:noFill/>
                          <a:ln w="9525">
                            <a:noFill/>
                            <a:miter lim="800000"/>
                          </a:ln>
                        </wps:spPr>
                        <wps:txbx>
                          <w:txbxContent>
                            <w:p w14:paraId="142F21A9">
                              <w:pPr>
                                <w:spacing w:line="240" w:lineRule="auto"/>
                                <w:jc w:val="distribute"/>
                                <w:rPr>
                                  <w:rFonts w:hint="eastAsia"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noAutofit/>
                        </wps:bodyPr>
                      </wps:wsp>
                      <wps:wsp>
                        <wps:cNvPr id="83" name="文本框 2"/>
                        <wps:cNvSpPr txBox="1">
                          <a:spLocks noChangeArrowheads="1"/>
                        </wps:cNvSpPr>
                        <wps:spPr bwMode="auto">
                          <a:xfrm>
                            <a:off x="2792372" y="1643356"/>
                            <a:ext cx="3027823" cy="672501"/>
                          </a:xfrm>
                          <a:prstGeom prst="rect">
                            <a:avLst/>
                          </a:prstGeom>
                          <a:noFill/>
                          <a:ln w="9525">
                            <a:noFill/>
                            <a:miter lim="800000"/>
                          </a:ln>
                        </wps:spPr>
                        <wps:txbx>
                          <w:txbxContent>
                            <w:p w14:paraId="6422E6EF">
                              <w:pPr>
                                <w:spacing w:line="300" w:lineRule="exact"/>
                                <w:jc w:val="right"/>
                                <w:rPr>
                                  <w:rFonts w:ascii="黑体" w:hAnsi="Times New Roman" w:eastAsia="黑体" w:cs="Times New Roman"/>
                                  <w:sz w:val="28"/>
                                </w:rPr>
                              </w:pPr>
                            </w:p>
                            <w:p w14:paraId="2A025823">
                              <w:pPr>
                                <w:spacing w:line="300" w:lineRule="exact"/>
                                <w:jc w:val="right"/>
                                <w:rPr>
                                  <w:rFonts w:ascii="黑体" w:hAnsi="Times New Roman" w:eastAsia="黑体" w:cs="Times New Roman"/>
                                  <w:spacing w:val="10"/>
                                  <w:sz w:val="28"/>
                                </w:rPr>
                              </w:pPr>
                              <w:r>
                                <w:rPr>
                                  <w:rFonts w:hint="eastAsia" w:ascii="黑体" w:hAnsi="Times New Roman" w:eastAsia="黑体" w:cs="Times New Roman"/>
                                  <w:sz w:val="28"/>
                                </w:rPr>
                                <w:t>T/CMES</w:t>
                              </w:r>
                              <w:r>
                                <w:rPr>
                                  <w:rFonts w:hint="eastAsia" w:ascii="黑体" w:hAnsi="Times New Roman" w:eastAsia="黑体"/>
                                  <w:sz w:val="28"/>
                                </w:rPr>
                                <w:t xml:space="preserve"> </w:t>
                              </w:r>
                              <w:r>
                                <w:rPr>
                                  <w:rFonts w:ascii="黑体" w:hAnsi="Times New Roman" w:eastAsia="黑体" w:cs="Times New Roman"/>
                                  <w:spacing w:val="10"/>
                                  <w:sz w:val="28"/>
                                </w:rPr>
                                <w:t>XXXX</w:t>
                              </w:r>
                              <w:r>
                                <w:rPr>
                                  <w:rFonts w:hint="eastAsia" w:ascii="黑体" w:hAnsi="Times New Roman" w:eastAsia="黑体" w:cs="Times New Roman"/>
                                  <w:spacing w:val="10"/>
                                  <w:sz w:val="28"/>
                                </w:rPr>
                                <w:t>—202X</w:t>
                              </w:r>
                            </w:p>
                            <w:p w14:paraId="36FBED1D">
                              <w:pPr>
                                <w:spacing w:line="300" w:lineRule="exact"/>
                                <w:jc w:val="right"/>
                                <w:rPr>
                                  <w:rFonts w:ascii="黑体" w:hAnsi="Times New Roman" w:eastAsia="黑体"/>
                                </w:rPr>
                              </w:pPr>
                            </w:p>
                          </w:txbxContent>
                        </wps:txbx>
                        <wps:bodyPr rot="0" vert="horz" wrap="square" lIns="91440" tIns="45720" rIns="91440" bIns="45720" anchor="ctr" anchorCtr="0">
                          <a:noAutofit/>
                        </wps:bodyPr>
                      </wps:wsp>
                      <wps:wsp>
                        <wps:cNvPr id="85" name="文本框 2"/>
                        <wps:cNvSpPr txBox="1">
                          <a:spLocks noChangeArrowheads="1"/>
                        </wps:cNvSpPr>
                        <wps:spPr bwMode="auto">
                          <a:xfrm>
                            <a:off x="12357" y="3249827"/>
                            <a:ext cx="5733415" cy="4312920"/>
                          </a:xfrm>
                          <a:prstGeom prst="rect">
                            <a:avLst/>
                          </a:prstGeom>
                          <a:solidFill>
                            <a:srgbClr val="FFFFFF"/>
                          </a:solidFill>
                          <a:ln w="9525">
                            <a:noFill/>
                            <a:miter lim="800000"/>
                          </a:ln>
                        </wps:spPr>
                        <wps:txbx>
                          <w:txbxContent>
                            <w:p w14:paraId="79CEBC14">
                              <w:pPr>
                                <w:spacing w:before="156" w:beforeLines="50" w:after="156" w:afterLines="50" w:line="240" w:lineRule="auto"/>
                                <w:jc w:val="center"/>
                                <w:rPr>
                                  <w:rFonts w:ascii="Times New Roman" w:hAnsi="Times New Roman" w:eastAsia="黑体"/>
                                  <w:sz w:val="48"/>
                                  <w:szCs w:val="48"/>
                                </w:rPr>
                              </w:pPr>
                            </w:p>
                            <w:p w14:paraId="0B124E78">
                              <w:pPr>
                                <w:spacing w:before="156" w:beforeLines="50" w:after="156" w:afterLines="50" w:line="240" w:lineRule="auto"/>
                                <w:jc w:val="center"/>
                                <w:rPr>
                                  <w:rFonts w:ascii="Times New Roman" w:hAnsi="Times New Roman" w:eastAsia="黑体" w:cs="Times New Roman"/>
                                  <w:sz w:val="52"/>
                                  <w:szCs w:val="52"/>
                                </w:rPr>
                              </w:pPr>
                              <w:r>
                                <w:rPr>
                                  <w:rFonts w:hint="eastAsia" w:ascii="Times New Roman" w:hAnsi="Times New Roman" w:eastAsia="黑体" w:cs="Times New Roman"/>
                                  <w:sz w:val="52"/>
                                  <w:szCs w:val="52"/>
                                </w:rPr>
                                <w:t xml:space="preserve">食品机械  </w:t>
                              </w:r>
                              <w:r>
                                <w:rPr>
                                  <w:rFonts w:ascii="Times New Roman" w:hAnsi="Times New Roman" w:eastAsia="黑体" w:cs="Times New Roman"/>
                                  <w:sz w:val="52"/>
                                  <w:szCs w:val="52"/>
                                </w:rPr>
                                <w:t>速冻鲜食玉米加工技术规范</w:t>
                              </w:r>
                            </w:p>
                            <w:p w14:paraId="5859072B">
                              <w:pPr>
                                <w:jc w:val="center"/>
                                <w:rPr>
                                  <w:rFonts w:ascii="Times New Roman" w:hAnsi="Times New Roman" w:eastAsia="黑体" w:cs="Times New Roman"/>
                                  <w:b/>
                                  <w:bCs/>
                                  <w:sz w:val="28"/>
                                  <w:szCs w:val="28"/>
                                </w:rPr>
                              </w:pPr>
                              <w:r>
                                <w:rPr>
                                  <w:rFonts w:ascii="Times New Roman" w:hAnsi="Times New Roman" w:eastAsia="黑体"/>
                                  <w:b/>
                                  <w:bCs/>
                                  <w:kern w:val="0"/>
                                  <w:sz w:val="28"/>
                                  <w:szCs w:val="28"/>
                                </w:rPr>
                                <w:t>Food machinery—</w:t>
                              </w:r>
                              <w:r>
                                <w:rPr>
                                  <w:rFonts w:ascii="Times New Roman" w:hAnsi="Times New Roman" w:eastAsia="黑体" w:cs="Times New Roman"/>
                                  <w:b/>
                                  <w:bCs/>
                                  <w:sz w:val="28"/>
                                  <w:szCs w:val="28"/>
                                </w:rPr>
                                <w:t xml:space="preserve">Technical specification for processing of quick-frozen fresh corn </w:t>
                              </w:r>
                            </w:p>
                            <w:p w14:paraId="6A74D196">
                              <w:pPr>
                                <w:pStyle w:val="136"/>
                                <w:rPr>
                                  <w:rFonts w:hint="eastAsia" w:hAnsi="宋体"/>
                                  <w:kern w:val="2"/>
                                  <w:szCs w:val="24"/>
                                </w:rPr>
                              </w:pPr>
                              <w:r>
                                <w:rPr>
                                  <w:rFonts w:hAnsi="宋体"/>
                                  <w:kern w:val="2"/>
                                  <w:szCs w:val="24"/>
                                </w:rPr>
                                <w:t>（征求意见稿）</w:t>
                              </w:r>
                            </w:p>
                            <w:p w14:paraId="1E9966F3">
                              <w:pPr>
                                <w:pStyle w:val="14"/>
                                <w:adjustRightInd/>
                                <w:spacing w:before="312" w:beforeLines="100" w:line="240" w:lineRule="auto"/>
                                <w:jc w:val="center"/>
                                <w:rPr>
                                  <w:rFonts w:ascii="Times New Roman" w:hAnsi="Times New Roman" w:cs="Times New Roman"/>
                                  <w:sz w:val="24"/>
                                  <w:szCs w:val="24"/>
                                </w:rPr>
                              </w:pPr>
                              <w:r>
                                <w:rPr>
                                  <w:rFonts w:ascii="Times New Roman" w:hAnsi="Times New Roman" w:cs="Times New Roman"/>
                                  <w:sz w:val="24"/>
                                  <w:szCs w:val="24"/>
                                </w:rPr>
                                <w:t>在提交反馈意见时，请将您知道的相关专利连同支持性文件一并附上。</w:t>
                              </w:r>
                            </w:p>
                          </w:txbxContent>
                        </wps:txbx>
                        <wps:bodyPr rot="0" vert="horz" wrap="square" lIns="91440" tIns="45720" rIns="91440" bIns="45720" anchor="t" anchorCtr="0">
                          <a:noAutofit/>
                        </wps:bodyPr>
                      </wps:wsp>
                      <wps:wsp>
                        <wps:cNvPr id="86" name="文本框 2"/>
                        <wps:cNvSpPr txBox="1">
                          <a:spLocks noChangeArrowheads="1"/>
                        </wps:cNvSpPr>
                        <wps:spPr bwMode="auto">
                          <a:xfrm>
                            <a:off x="0" y="8699156"/>
                            <a:ext cx="2303145" cy="353695"/>
                          </a:xfrm>
                          <a:prstGeom prst="rect">
                            <a:avLst/>
                          </a:prstGeom>
                          <a:noFill/>
                          <a:ln w="9525">
                            <a:noFill/>
                            <a:miter lim="800000"/>
                          </a:ln>
                        </wps:spPr>
                        <wps:txbx>
                          <w:txbxContent>
                            <w:p w14:paraId="26E33EBA">
                              <w:pPr>
                                <w:jc w:val="lef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发布</w:t>
                              </w:r>
                            </w:p>
                          </w:txbxContent>
                        </wps:txbx>
                        <wps:bodyPr rot="0" vert="horz" wrap="square" lIns="91440" tIns="45720" rIns="91440" bIns="45720" anchor="t" anchorCtr="0">
                          <a:noAutofit/>
                        </wps:bodyPr>
                      </wps:wsp>
                      <wps:wsp>
                        <wps:cNvPr id="88" name="文本框 2"/>
                        <wps:cNvSpPr txBox="1">
                          <a:spLocks noChangeArrowheads="1"/>
                        </wps:cNvSpPr>
                        <wps:spPr bwMode="auto">
                          <a:xfrm>
                            <a:off x="3447535" y="8711513"/>
                            <a:ext cx="2303145" cy="353695"/>
                          </a:xfrm>
                          <a:prstGeom prst="rect">
                            <a:avLst/>
                          </a:prstGeom>
                          <a:noFill/>
                          <a:ln w="9525">
                            <a:noFill/>
                            <a:miter lim="800000"/>
                          </a:ln>
                        </wps:spPr>
                        <wps:txbx>
                          <w:txbxContent>
                            <w:p w14:paraId="11450B34">
                              <w:pPr>
                                <w:jc w:val="righ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实施</w:t>
                              </w:r>
                            </w:p>
                          </w:txbxContent>
                        </wps:txbx>
                        <wps:bodyPr rot="0" vert="horz" wrap="square" lIns="91440" tIns="45720" rIns="91440" bIns="45720" anchor="t" anchorCtr="0">
                          <a:noAutofit/>
                        </wps:bodyPr>
                      </wps:wsp>
                      <wps:wsp>
                        <wps:cNvPr id="90" name="文本框 2"/>
                        <wps:cNvSpPr txBox="1">
                          <a:spLocks noChangeArrowheads="1"/>
                        </wps:cNvSpPr>
                        <wps:spPr bwMode="auto">
                          <a:xfrm>
                            <a:off x="1717589" y="9193409"/>
                            <a:ext cx="2303310" cy="354984"/>
                          </a:xfrm>
                          <a:prstGeom prst="rect">
                            <a:avLst/>
                          </a:prstGeom>
                          <a:noFill/>
                          <a:ln w="9525">
                            <a:noFill/>
                            <a:miter lim="800000"/>
                          </a:ln>
                        </wps:spPr>
                        <wps:txbx>
                          <w:txbxContent>
                            <w:p w14:paraId="390B5707">
                              <w:pPr>
                                <w:jc w:val="center"/>
                                <w:rPr>
                                  <w:rFonts w:ascii="Times New Roman" w:hAnsi="Times New Roman" w:eastAsia="黑体"/>
                                  <w:sz w:val="30"/>
                                </w:rPr>
                              </w:pPr>
                              <w:r>
                                <w:rPr>
                                  <w:rFonts w:hint="eastAsia" w:ascii="Times New Roman" w:hAnsi="Times New Roman" w:eastAsia="黑体"/>
                                  <w:sz w:val="30"/>
                                  <w:szCs w:val="30"/>
                                </w:rPr>
                                <w:t>中国机械工程学会 发布</w:t>
                              </w:r>
                            </w:p>
                          </w:txbxContent>
                        </wps:txbx>
                        <wps:bodyPr rot="0" vert="horz" wrap="square" lIns="91440" tIns="45720" rIns="91440" bIns="45720" anchor="t" anchorCtr="0">
                          <a:noAutofit/>
                        </wps:bodyPr>
                      </wps:wsp>
                      <wps:wsp>
                        <wps:cNvPr id="84" name="直接连接符 84"/>
                        <wps:cNvCnPr/>
                        <wps:spPr>
                          <a:xfrm>
                            <a:off x="0" y="2310713"/>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连接符 91"/>
                        <wps:cNvCnPr/>
                        <wps:spPr>
                          <a:xfrm>
                            <a:off x="0" y="9082216"/>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0.3pt;margin-top:0.6pt;height:674.55pt;width:458.25pt;mso-wrap-distance-bottom:0pt;mso-wrap-distance-left:9pt;mso-wrap-distance-right:9pt;mso-wrap-distance-top:0pt;z-index:251661312;mso-width-relative:page;mso-height-relative:page;" coordsize="5820195,9548393" o:gfxdata="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">
                <o:lock v:ext="edit" aspectratio="f"/>
                <v:shape id="文本框 2" o:spid="_x0000_s1026" o:spt="202" type="#_x0000_t202" style="position:absolute;left:0;top:0;height:497232;width:2361099;" filled="f" stroked="f" coordsize="21600,21600" o:gfxdata="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3u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3BEE8978">
                        <w:pPr>
                          <w:spacing w:line="240" w:lineRule="auto"/>
                          <w:outlineLvl w:val="0"/>
                          <w:rPr>
                            <w:rFonts w:ascii="黑体" w:hAnsi="Times New Roman" w:eastAsia="黑体" w:cs="Times New Roman"/>
                            <w:spacing w:val="10"/>
                          </w:rPr>
                        </w:pPr>
                        <w:bookmarkStart w:id="187" w:name="_Toc76030683"/>
                        <w:bookmarkStart w:id="188" w:name="_Toc75444049"/>
                        <w:bookmarkStart w:id="189" w:name="_Toc75969043"/>
                        <w:bookmarkStart w:id="190" w:name="_Toc75166217"/>
                        <w:bookmarkStart w:id="191" w:name="_Toc72998442"/>
                        <w:bookmarkStart w:id="192" w:name="_Toc195806930"/>
                        <w:r>
                          <w:rPr>
                            <w:rFonts w:ascii="黑体" w:hAnsi="Times New Roman" w:eastAsia="黑体"/>
                          </w:rPr>
                          <w:t>ICS</w:t>
                        </w:r>
                        <w:r>
                          <w:rPr>
                            <w:rFonts w:ascii="黑体" w:hAnsi="Times New Roman" w:eastAsia="黑体" w:cs="Times New Roman"/>
                            <w:spacing w:val="10"/>
                          </w:rPr>
                          <w:t xml:space="preserve"> 67.260</w:t>
                        </w:r>
                        <w:bookmarkEnd w:id="187"/>
                        <w:bookmarkEnd w:id="188"/>
                        <w:bookmarkEnd w:id="189"/>
                        <w:bookmarkEnd w:id="190"/>
                        <w:bookmarkEnd w:id="191"/>
                        <w:bookmarkEnd w:id="192"/>
                      </w:p>
                      <w:p w14:paraId="491C8AEC">
                        <w:pPr>
                          <w:spacing w:line="240" w:lineRule="auto"/>
                          <w:outlineLvl w:val="0"/>
                          <w:rPr>
                            <w:rFonts w:ascii="黑体" w:hAnsi="Times New Roman" w:eastAsia="黑体"/>
                          </w:rPr>
                        </w:pPr>
                        <w:bookmarkStart w:id="193" w:name="_Toc195806931"/>
                        <w:bookmarkStart w:id="194" w:name="_Toc75166218"/>
                        <w:bookmarkStart w:id="195" w:name="_Toc75969044"/>
                        <w:bookmarkStart w:id="196" w:name="_Toc76030684"/>
                        <w:bookmarkStart w:id="197" w:name="_Toc72998443"/>
                        <w:bookmarkStart w:id="198" w:name="_Toc75444050"/>
                        <w:r>
                          <w:rPr>
                            <w:rFonts w:ascii="黑体" w:hAnsi="Times New Roman" w:eastAsia="黑体" w:cs="Times New Roman"/>
                            <w:spacing w:val="10"/>
                          </w:rPr>
                          <w:t>X 99</w:t>
                        </w:r>
                        <w:bookmarkEnd w:id="193"/>
                        <w:bookmarkEnd w:id="194"/>
                        <w:bookmarkEnd w:id="195"/>
                        <w:bookmarkEnd w:id="196"/>
                        <w:bookmarkEnd w:id="197"/>
                        <w:bookmarkEnd w:id="198"/>
                      </w:p>
                    </w:txbxContent>
                  </v:textbox>
                </v:shape>
                <v:shape id="文本框 2" o:spid="_x0000_s1026" o:spt="202" type="#_x0000_t202" style="position:absolute;left:12357;top:840259;height:892810;width:5734050;v-text-anchor:middle;" filled="f" stroked="f" coordsize="21600,21600" o:gfxdata="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TUEC8AAAA&#10;2w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14:paraId="142F21A9">
                        <w:pPr>
                          <w:spacing w:line="240" w:lineRule="auto"/>
                          <w:jc w:val="distribute"/>
                          <w:rPr>
                            <w:rFonts w:hint="eastAsia" w:ascii="黑体" w:hAnsi="黑体" w:eastAsia="黑体"/>
                            <w:sz w:val="84"/>
                            <w:szCs w:val="84"/>
                          </w:rPr>
                        </w:pPr>
                        <w:r>
                          <w:rPr>
                            <w:rFonts w:hint="eastAsia" w:ascii="黑体" w:hAnsi="黑体" w:eastAsia="黑体"/>
                            <w:sz w:val="84"/>
                            <w:szCs w:val="84"/>
                          </w:rPr>
                          <w:t>团体标准</w:t>
                        </w:r>
                      </w:p>
                    </w:txbxContent>
                  </v:textbox>
                </v:shape>
                <v:shape id="文本框 2" o:spid="_x0000_s1026" o:spt="202" type="#_x0000_t202" style="position:absolute;left:2792372;top:1643356;height:672501;width:3027823;v-text-anchor:middle;" filled="f" stroked="f" coordsize="21600,21600" o:gfxdata="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9/127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w:txbxContent>
                      <w:p w14:paraId="6422E6EF">
                        <w:pPr>
                          <w:spacing w:line="300" w:lineRule="exact"/>
                          <w:jc w:val="right"/>
                          <w:rPr>
                            <w:rFonts w:ascii="黑体" w:hAnsi="Times New Roman" w:eastAsia="黑体" w:cs="Times New Roman"/>
                            <w:sz w:val="28"/>
                          </w:rPr>
                        </w:pPr>
                      </w:p>
                      <w:p w14:paraId="2A025823">
                        <w:pPr>
                          <w:spacing w:line="300" w:lineRule="exact"/>
                          <w:jc w:val="right"/>
                          <w:rPr>
                            <w:rFonts w:ascii="黑体" w:hAnsi="Times New Roman" w:eastAsia="黑体" w:cs="Times New Roman"/>
                            <w:spacing w:val="10"/>
                            <w:sz w:val="28"/>
                          </w:rPr>
                        </w:pPr>
                        <w:r>
                          <w:rPr>
                            <w:rFonts w:hint="eastAsia" w:ascii="黑体" w:hAnsi="Times New Roman" w:eastAsia="黑体" w:cs="Times New Roman"/>
                            <w:sz w:val="28"/>
                          </w:rPr>
                          <w:t>T/CMES</w:t>
                        </w:r>
                        <w:r>
                          <w:rPr>
                            <w:rFonts w:hint="eastAsia" w:ascii="黑体" w:hAnsi="Times New Roman" w:eastAsia="黑体"/>
                            <w:sz w:val="28"/>
                          </w:rPr>
                          <w:t xml:space="preserve"> </w:t>
                        </w:r>
                        <w:r>
                          <w:rPr>
                            <w:rFonts w:ascii="黑体" w:hAnsi="Times New Roman" w:eastAsia="黑体" w:cs="Times New Roman"/>
                            <w:spacing w:val="10"/>
                            <w:sz w:val="28"/>
                          </w:rPr>
                          <w:t>XXXX</w:t>
                        </w:r>
                        <w:r>
                          <w:rPr>
                            <w:rFonts w:hint="eastAsia" w:ascii="黑体" w:hAnsi="Times New Roman" w:eastAsia="黑体" w:cs="Times New Roman"/>
                            <w:spacing w:val="10"/>
                            <w:sz w:val="28"/>
                          </w:rPr>
                          <w:t>—202X</w:t>
                        </w:r>
                      </w:p>
                      <w:p w14:paraId="36FBED1D">
                        <w:pPr>
                          <w:spacing w:line="300" w:lineRule="exact"/>
                          <w:jc w:val="right"/>
                          <w:rPr>
                            <w:rFonts w:ascii="黑体" w:hAnsi="Times New Roman" w:eastAsia="黑体"/>
                          </w:rPr>
                        </w:pPr>
                      </w:p>
                    </w:txbxContent>
                  </v:textbox>
                </v:shape>
                <v:shape id="文本框 2" o:spid="_x0000_s1026" o:spt="202" type="#_x0000_t202" style="position:absolute;left:12357;top:3249827;height:4312920;width:5733415;" fillcolor="#FFFFFF" filled="t" stroked="f" coordsize="21600,21600" o:gfxdata="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i+ebbgAAADb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14:paraId="79CEBC14">
                        <w:pPr>
                          <w:spacing w:before="156" w:beforeLines="50" w:after="156" w:afterLines="50" w:line="240" w:lineRule="auto"/>
                          <w:jc w:val="center"/>
                          <w:rPr>
                            <w:rFonts w:ascii="Times New Roman" w:hAnsi="Times New Roman" w:eastAsia="黑体"/>
                            <w:sz w:val="48"/>
                            <w:szCs w:val="48"/>
                          </w:rPr>
                        </w:pPr>
                      </w:p>
                      <w:p w14:paraId="0B124E78">
                        <w:pPr>
                          <w:spacing w:before="156" w:beforeLines="50" w:after="156" w:afterLines="50" w:line="240" w:lineRule="auto"/>
                          <w:jc w:val="center"/>
                          <w:rPr>
                            <w:rFonts w:ascii="Times New Roman" w:hAnsi="Times New Roman" w:eastAsia="黑体" w:cs="Times New Roman"/>
                            <w:sz w:val="52"/>
                            <w:szCs w:val="52"/>
                          </w:rPr>
                        </w:pPr>
                        <w:r>
                          <w:rPr>
                            <w:rFonts w:hint="eastAsia" w:ascii="Times New Roman" w:hAnsi="Times New Roman" w:eastAsia="黑体" w:cs="Times New Roman"/>
                            <w:sz w:val="52"/>
                            <w:szCs w:val="52"/>
                          </w:rPr>
                          <w:t xml:space="preserve">食品机械  </w:t>
                        </w:r>
                        <w:r>
                          <w:rPr>
                            <w:rFonts w:ascii="Times New Roman" w:hAnsi="Times New Roman" w:eastAsia="黑体" w:cs="Times New Roman"/>
                            <w:sz w:val="52"/>
                            <w:szCs w:val="52"/>
                          </w:rPr>
                          <w:t>速冻鲜食玉米加工技术规范</w:t>
                        </w:r>
                      </w:p>
                      <w:p w14:paraId="5859072B">
                        <w:pPr>
                          <w:jc w:val="center"/>
                          <w:rPr>
                            <w:rFonts w:ascii="Times New Roman" w:hAnsi="Times New Roman" w:eastAsia="黑体" w:cs="Times New Roman"/>
                            <w:b/>
                            <w:bCs/>
                            <w:sz w:val="28"/>
                            <w:szCs w:val="28"/>
                          </w:rPr>
                        </w:pPr>
                        <w:r>
                          <w:rPr>
                            <w:rFonts w:ascii="Times New Roman" w:hAnsi="Times New Roman" w:eastAsia="黑体"/>
                            <w:b/>
                            <w:bCs/>
                            <w:kern w:val="0"/>
                            <w:sz w:val="28"/>
                            <w:szCs w:val="28"/>
                          </w:rPr>
                          <w:t>Food machinery—</w:t>
                        </w:r>
                        <w:r>
                          <w:rPr>
                            <w:rFonts w:ascii="Times New Roman" w:hAnsi="Times New Roman" w:eastAsia="黑体" w:cs="Times New Roman"/>
                            <w:b/>
                            <w:bCs/>
                            <w:sz w:val="28"/>
                            <w:szCs w:val="28"/>
                          </w:rPr>
                          <w:t xml:space="preserve">Technical specification for processing of quick-frozen fresh corn </w:t>
                        </w:r>
                      </w:p>
                      <w:p w14:paraId="6A74D196">
                        <w:pPr>
                          <w:pStyle w:val="136"/>
                          <w:rPr>
                            <w:rFonts w:hint="eastAsia" w:hAnsi="宋体"/>
                            <w:kern w:val="2"/>
                            <w:szCs w:val="24"/>
                          </w:rPr>
                        </w:pPr>
                        <w:r>
                          <w:rPr>
                            <w:rFonts w:hAnsi="宋体"/>
                            <w:kern w:val="2"/>
                            <w:szCs w:val="24"/>
                          </w:rPr>
                          <w:t>（征求意见稿）</w:t>
                        </w:r>
                      </w:p>
                      <w:p w14:paraId="1E9966F3">
                        <w:pPr>
                          <w:pStyle w:val="14"/>
                          <w:adjustRightInd/>
                          <w:spacing w:before="312" w:beforeLines="100" w:line="240" w:lineRule="auto"/>
                          <w:jc w:val="center"/>
                          <w:rPr>
                            <w:rFonts w:ascii="Times New Roman" w:hAnsi="Times New Roman" w:cs="Times New Roman"/>
                            <w:sz w:val="24"/>
                            <w:szCs w:val="24"/>
                          </w:rPr>
                        </w:pPr>
                        <w:r>
                          <w:rPr>
                            <w:rFonts w:ascii="Times New Roman" w:hAnsi="Times New Roman" w:cs="Times New Roman"/>
                            <w:sz w:val="24"/>
                            <w:szCs w:val="24"/>
                          </w:rPr>
                          <w:t>在提交反馈意见时，请将您知道的相关专利连同支持性文件一并附上。</w:t>
                        </w:r>
                      </w:p>
                    </w:txbxContent>
                  </v:textbox>
                </v:shape>
                <v:shape id="文本框 2" o:spid="_x0000_s1026" o:spt="202" type="#_x0000_t202" style="position:absolute;left:0;top:8699156;height:353695;width:2303145;" filled="f" stroked="f" coordsize="21600,21600" o:gfxdata="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C6e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26E33EBA">
                        <w:pPr>
                          <w:jc w:val="lef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发布</w:t>
                        </w:r>
                      </w:p>
                    </w:txbxContent>
                  </v:textbox>
                </v:shape>
                <v:shape id="文本框 2" o:spid="_x0000_s1026" o:spt="202" type="#_x0000_t202" style="position:absolute;left:3447535;top:8711513;height:353695;width:2303145;" filled="f" stroked="f" coordsize="21600,21600" o:gfxdata="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XPH3e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14:paraId="11450B34">
                        <w:pPr>
                          <w:jc w:val="righ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实施</w:t>
                        </w:r>
                      </w:p>
                    </w:txbxContent>
                  </v:textbox>
                </v:shape>
                <v:shape id="文本框 2" o:spid="_x0000_s1026" o:spt="202" type="#_x0000_t202" style="position:absolute;left:1717589;top:9193409;height:354984;width:2303310;" filled="f" stroked="f" coordsize="21600,21600" o:gfxdata="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mCFrL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w:txbxContent>
                      <w:p w14:paraId="390B5707">
                        <w:pPr>
                          <w:jc w:val="center"/>
                          <w:rPr>
                            <w:rFonts w:ascii="Times New Roman" w:hAnsi="Times New Roman" w:eastAsia="黑体"/>
                            <w:sz w:val="30"/>
                          </w:rPr>
                        </w:pPr>
                        <w:r>
                          <w:rPr>
                            <w:rFonts w:hint="eastAsia" w:ascii="Times New Roman" w:hAnsi="Times New Roman" w:eastAsia="黑体"/>
                            <w:sz w:val="30"/>
                            <w:szCs w:val="30"/>
                          </w:rPr>
                          <w:t>中国机械工程学会 发布</w:t>
                        </w:r>
                      </w:p>
                    </w:txbxContent>
                  </v:textbox>
                </v:shape>
                <v:line id="_x0000_s1026" o:spid="_x0000_s1026" o:spt="20" style="position:absolute;left:0;top:2310713;height:0;width:5753735;" filled="f" stroked="t" coordsize="21600,21600" o:gfxdata="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j59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line>
                <v:line id="_x0000_s1026" o:spid="_x0000_s1026" o:spt="20" style="position:absolute;left:0;top:9082216;height:0;width:5753735;" filled="f" stroked="t" coordsize="21600,21600" o:gfxdata="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4QLOL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line>
                <w10:wrap type="square"/>
              </v:group>
            </w:pict>
          </mc:Fallback>
        </mc:AlternateContent>
      </w:r>
    </w:p>
    <w:p w14:paraId="54B6F6A8">
      <w:pPr>
        <w:spacing w:line="240" w:lineRule="auto"/>
        <w:rPr>
          <w:rFonts w:ascii="Times New Roman" w:hAnsi="Times New Roman"/>
        </w:rPr>
      </w:pPr>
      <w:r>
        <w:rPr>
          <w:rFonts w:ascii="Times New Roman" w:hAnsi="Times New Roman"/>
        </w:rPr>
        <mc:AlternateContent>
          <mc:Choice Requires="wps">
            <w:drawing>
              <wp:inline distT="0" distB="0" distL="0" distR="0">
                <wp:extent cx="5737860" cy="6955155"/>
                <wp:effectExtent l="0" t="0" r="0" b="0"/>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37860" cy="6955200"/>
                        </a:xfrm>
                        <a:prstGeom prst="rect">
                          <a:avLst/>
                        </a:prstGeom>
                        <a:solidFill>
                          <a:srgbClr val="FFFFFF"/>
                        </a:solidFill>
                        <a:ln w="9525">
                          <a:noFill/>
                          <a:miter lim="800000"/>
                        </a:ln>
                      </wps:spPr>
                      <wps:txbx>
                        <w:txbxContent>
                          <w:p w14:paraId="124314B5">
                            <w:pPr>
                              <w:spacing w:line="240" w:lineRule="auto"/>
                              <w:ind w:firstLine="420" w:firstLineChars="200"/>
                              <w:rPr>
                                <w:rFonts w:ascii="Times New Roman" w:hAnsi="Times New Roman"/>
                              </w:rPr>
                            </w:pPr>
                            <w:r>
                              <w:rPr>
                                <w:rFonts w:hint="eastAsia" w:ascii="Times New Roman" w:hAnsi="Times New Roman"/>
                              </w:rPr>
                              <w:t>中国机械工程学会（英文简称CMES）是具备开展国内、国际标准化活动资质的全国性社会团体。制定中国机械工程学会团体标准，以满足企业需要和市场需求，推动机械工业创新发展，是中国机械工程学会团体标准的工作内容之一。中国境内的团体和个人，均可提出制、修订中国机械工程学会团体标准的建议并参与有关工作。</w:t>
                            </w:r>
                          </w:p>
                          <w:p w14:paraId="327E18BB">
                            <w:pPr>
                              <w:spacing w:line="240" w:lineRule="auto"/>
                              <w:ind w:firstLine="420" w:firstLineChars="200"/>
                              <w:rPr>
                                <w:rFonts w:ascii="Times New Roman" w:hAnsi="Times New Roman"/>
                              </w:rPr>
                            </w:pPr>
                            <w:r>
                              <w:rPr>
                                <w:rFonts w:hint="eastAsia" w:ascii="Times New Roman" w:hAnsi="Times New Roman"/>
                              </w:rPr>
                              <w:t>中国机械工程学会团体标准按《中国机械工程学会团体标准管理办法》进行制定和管理。</w:t>
                            </w:r>
                          </w:p>
                          <w:p w14:paraId="2A879886">
                            <w:pPr>
                              <w:spacing w:line="240" w:lineRule="auto"/>
                              <w:ind w:firstLine="420" w:firstLineChars="200"/>
                              <w:rPr>
                                <w:rFonts w:ascii="Times New Roman" w:hAnsi="Times New Roman"/>
                              </w:rPr>
                            </w:pPr>
                            <w:r>
                              <w:rPr>
                                <w:rFonts w:hint="eastAsia" w:ascii="Times New Roman" w:hAnsi="Times New Roman"/>
                              </w:rPr>
                              <w:t>中国机械工程学会团体标准草案经向社会公开征求意见，并得到参加审定会议的</w:t>
                            </w:r>
                            <w:r>
                              <w:rPr>
                                <w:rFonts w:ascii="Times New Roman" w:hAnsi="Times New Roman"/>
                              </w:rPr>
                              <w:t>3/4</w:t>
                            </w:r>
                            <w:r>
                              <w:rPr>
                                <w:rFonts w:hint="eastAsia" w:ascii="Times New Roman" w:hAnsi="Times New Roman"/>
                              </w:rPr>
                              <w:t>以上的专家、成员的投票赞同，方可作为中国机械工程学会团体标准予以发布。</w:t>
                            </w:r>
                          </w:p>
                          <w:p w14:paraId="2EF3174F">
                            <w:pPr>
                              <w:spacing w:line="240" w:lineRule="auto"/>
                              <w:ind w:firstLine="420" w:firstLineChars="200"/>
                              <w:rPr>
                                <w:rFonts w:ascii="Times New Roman" w:hAnsi="Times New Roman"/>
                              </w:rPr>
                            </w:pPr>
                            <w:r>
                              <w:rPr>
                                <w:rFonts w:hint="eastAsia" w:ascii="Times New Roman" w:hAnsi="Times New Roman"/>
                              </w:rPr>
                              <w:t>在本文件实施过程中，如发现需要修改或补充之处，请将意见和有关资料寄给中国机械工程学会，以便修订时参考。</w:t>
                            </w:r>
                          </w:p>
                          <w:p w14:paraId="3ED2083E">
                            <w:pPr>
                              <w:spacing w:line="240" w:lineRule="auto"/>
                            </w:pPr>
                          </w:p>
                        </w:txbxContent>
                      </wps:txbx>
                      <wps:bodyPr rot="0" vert="horz" wrap="square" lIns="0" tIns="0" rIns="0" bIns="0" anchor="t" anchorCtr="0">
                        <a:noAutofit/>
                      </wps:bodyPr>
                    </wps:wsp>
                  </a:graphicData>
                </a:graphic>
              </wp:inline>
            </w:drawing>
          </mc:Choice>
          <mc:Fallback>
            <w:pict>
              <v:shape id="文本框 2" o:spid="_x0000_s1026" o:spt="202" type="#_x0000_t202" style="height:547.65pt;width:451.8pt;" fillcolor="#FFFFFF" filled="t" stroked="f" coordsize="21600,21600" o:gfxdata="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sEvyI1gAAAAYBAAAPAAAAAAAAAAEAIAAAACIAAABkcnMvZG93bnJldi54bWxQSwEC&#10;FAAUAAAACACHTuJAM968Wi8CAABEBAAADgAAAAAAAAABACAAAAAlAQAAZHJzL2Uyb0RvYy54bWxQ&#10;SwUGAAAAAAYABgBZAQAAxgUAAAAA&#10;">
                <v:fill on="t" focussize="0,0"/>
                <v:stroke on="f" miterlimit="8" joinstyle="miter"/>
                <v:imagedata o:title=""/>
                <o:lock v:ext="edit" aspectratio="f"/>
                <v:textbox inset="0mm,0mm,0mm,0mm">
                  <w:txbxContent>
                    <w:p w14:paraId="124314B5">
                      <w:pPr>
                        <w:spacing w:line="240" w:lineRule="auto"/>
                        <w:ind w:firstLine="420" w:firstLineChars="200"/>
                        <w:rPr>
                          <w:rFonts w:ascii="Times New Roman" w:hAnsi="Times New Roman"/>
                        </w:rPr>
                      </w:pPr>
                      <w:r>
                        <w:rPr>
                          <w:rFonts w:hint="eastAsia" w:ascii="Times New Roman" w:hAnsi="Times New Roman"/>
                        </w:rPr>
                        <w:t>中国机械工程学会（英文简称CMES）是具备开展国内、国际标准化活动资质的全国性社会团体。制定中国机械工程学会团体标准，以满足企业需要和市场需求，推动机械工业创新发展，是中国机械工程学会团体标准的工作内容之一。中国境内的团体和个人，均可提出制、修订中国机械工程学会团体标准的建议并参与有关工作。</w:t>
                      </w:r>
                    </w:p>
                    <w:p w14:paraId="327E18BB">
                      <w:pPr>
                        <w:spacing w:line="240" w:lineRule="auto"/>
                        <w:ind w:firstLine="420" w:firstLineChars="200"/>
                        <w:rPr>
                          <w:rFonts w:ascii="Times New Roman" w:hAnsi="Times New Roman"/>
                        </w:rPr>
                      </w:pPr>
                      <w:r>
                        <w:rPr>
                          <w:rFonts w:hint="eastAsia" w:ascii="Times New Roman" w:hAnsi="Times New Roman"/>
                        </w:rPr>
                        <w:t>中国机械工程学会团体标准按《中国机械工程学会团体标准管理办法》进行制定和管理。</w:t>
                      </w:r>
                    </w:p>
                    <w:p w14:paraId="2A879886">
                      <w:pPr>
                        <w:spacing w:line="240" w:lineRule="auto"/>
                        <w:ind w:firstLine="420" w:firstLineChars="200"/>
                        <w:rPr>
                          <w:rFonts w:ascii="Times New Roman" w:hAnsi="Times New Roman"/>
                        </w:rPr>
                      </w:pPr>
                      <w:r>
                        <w:rPr>
                          <w:rFonts w:hint="eastAsia" w:ascii="Times New Roman" w:hAnsi="Times New Roman"/>
                        </w:rPr>
                        <w:t>中国机械工程学会团体标准草案经向社会公开征求意见，并得到参加审定会议的</w:t>
                      </w:r>
                      <w:r>
                        <w:rPr>
                          <w:rFonts w:ascii="Times New Roman" w:hAnsi="Times New Roman"/>
                        </w:rPr>
                        <w:t>3/4</w:t>
                      </w:r>
                      <w:r>
                        <w:rPr>
                          <w:rFonts w:hint="eastAsia" w:ascii="Times New Roman" w:hAnsi="Times New Roman"/>
                        </w:rPr>
                        <w:t>以上的专家、成员的投票赞同，方可作为中国机械工程学会团体标准予以发布。</w:t>
                      </w:r>
                    </w:p>
                    <w:p w14:paraId="2EF3174F">
                      <w:pPr>
                        <w:spacing w:line="240" w:lineRule="auto"/>
                        <w:ind w:firstLine="420" w:firstLineChars="200"/>
                        <w:rPr>
                          <w:rFonts w:ascii="Times New Roman" w:hAnsi="Times New Roman"/>
                        </w:rPr>
                      </w:pPr>
                      <w:r>
                        <w:rPr>
                          <w:rFonts w:hint="eastAsia" w:ascii="Times New Roman" w:hAnsi="Times New Roman"/>
                        </w:rPr>
                        <w:t>在本文件实施过程中，如发现需要修改或补充之处，请将意见和有关资料寄给中国机械工程学会，以便修订时参考。</w:t>
                      </w:r>
                    </w:p>
                    <w:p w14:paraId="3ED2083E">
                      <w:pPr>
                        <w:spacing w:line="240" w:lineRule="auto"/>
                      </w:pPr>
                    </w:p>
                  </w:txbxContent>
                </v:textbox>
                <w10:wrap type="none"/>
                <w10:anchorlock/>
              </v:shape>
            </w:pict>
          </mc:Fallback>
        </mc:AlternateContent>
      </w:r>
    </w:p>
    <w:p w14:paraId="0A218026">
      <w:pPr>
        <w:spacing w:line="240" w:lineRule="auto"/>
        <w:rPr>
          <w:rFonts w:ascii="Times New Roman" w:hAnsi="Times New Roman"/>
        </w:rPr>
        <w:sectPr>
          <w:headerReference r:id="rId11" w:type="first"/>
          <w:footerReference r:id="rId13" w:type="first"/>
          <w:headerReference r:id="rId10" w:type="default"/>
          <w:footerReference r:id="rId12" w:type="default"/>
          <w:pgSz w:w="11906" w:h="16838"/>
          <w:pgMar w:top="1418" w:right="1418" w:bottom="1134" w:left="1418" w:header="1417" w:footer="1134" w:gutter="0"/>
          <w:pgNumType w:fmt="upperRoman" w:start="1"/>
          <w:cols w:space="425" w:num="1"/>
          <w:docGrid w:type="lines" w:linePitch="312" w:charSpace="0"/>
        </w:sectPr>
      </w:pPr>
      <w:r>
        <w:rPr>
          <w:rFonts w:hint="eastAsia" w:ascii="Times New Roman" w:hAnsi="Times New Roman"/>
        </w:rPr>
        <mc:AlternateContent>
          <mc:Choice Requires="wpg">
            <w:drawing>
              <wp:inline distT="0" distB="0" distL="0" distR="0">
                <wp:extent cx="4314825" cy="1341755"/>
                <wp:effectExtent l="0" t="0" r="47625" b="29845"/>
                <wp:docPr id="2" name="组合 2"/>
                <wp:cNvGraphicFramePr/>
                <a:graphic xmlns:a="http://schemas.openxmlformats.org/drawingml/2006/main">
                  <a:graphicData uri="http://schemas.microsoft.com/office/word/2010/wordprocessingGroup">
                    <wpg:wgp>
                      <wpg:cNvGrpSpPr/>
                      <wpg:grpSpPr>
                        <a:xfrm>
                          <a:off x="0" y="0"/>
                          <a:ext cx="4314825" cy="1341755"/>
                          <a:chOff x="-9940" y="178904"/>
                          <a:chExt cx="4314825" cy="1341755"/>
                        </a:xfrm>
                      </wpg:grpSpPr>
                      <wps:wsp>
                        <wps:cNvPr id="1" name="文本框 2"/>
                        <wps:cNvSpPr txBox="1">
                          <a:spLocks noChangeArrowheads="1"/>
                        </wps:cNvSpPr>
                        <wps:spPr bwMode="auto">
                          <a:xfrm>
                            <a:off x="-9940" y="178904"/>
                            <a:ext cx="4248150" cy="1198244"/>
                          </a:xfrm>
                          <a:prstGeom prst="rect">
                            <a:avLst/>
                          </a:prstGeom>
                          <a:noFill/>
                          <a:ln w="9525">
                            <a:noFill/>
                            <a:miter lim="800000"/>
                          </a:ln>
                        </wps:spPr>
                        <wps:txbx>
                          <w:txbxContent>
                            <w:p w14:paraId="15204B0A">
                              <w:pPr>
                                <w:spacing w:line="240" w:lineRule="auto"/>
                                <w:ind w:firstLine="360" w:firstLineChars="200"/>
                                <w:rPr>
                                  <w:rStyle w:val="30"/>
                                  <w:rFonts w:ascii="Times New Roman"/>
                                </w:rPr>
                              </w:pPr>
                            </w:p>
                            <w:p w14:paraId="12EB7C60">
                              <w:pPr>
                                <w:spacing w:line="240" w:lineRule="auto"/>
                                <w:ind w:firstLine="360" w:firstLineChars="200"/>
                                <w:rPr>
                                  <w:rStyle w:val="30"/>
                                  <w:rFonts w:ascii="Times New Roman" w:cs="Times New Roman"/>
                                </w:rPr>
                              </w:pPr>
                              <w:r>
                                <w:rPr>
                                  <w:rStyle w:val="30"/>
                                  <w:rFonts w:hint="eastAsia" w:ascii="Times New Roman"/>
                                </w:rPr>
                                <w:t>本标准版权为中国机械工程学会所有。除了用于国家法律或事先得到中国机械工程学会正式许可外，不许以任何形式复制、传播该标准或用于其他商业目的。</w:t>
                              </w:r>
                            </w:p>
                            <w:p w14:paraId="6F0F3C20">
                              <w:pPr>
                                <w:spacing w:line="240" w:lineRule="auto"/>
                                <w:ind w:firstLine="360" w:firstLineChars="200"/>
                                <w:rPr>
                                  <w:rStyle w:val="30"/>
                                  <w:rFonts w:ascii="Times New Roman" w:cs="Times New Roman"/>
                                </w:rPr>
                              </w:pPr>
                              <w:r>
                                <w:rPr>
                                  <w:rStyle w:val="30"/>
                                  <w:rFonts w:hint="eastAsia" w:ascii="Times New Roman"/>
                                </w:rPr>
                                <w:t>中国机械工程学会地址：北京市海淀区首体南路9号主语国际4座1</w:t>
                              </w:r>
                              <w:r>
                                <w:rPr>
                                  <w:rStyle w:val="30"/>
                                  <w:rFonts w:ascii="Times New Roman"/>
                                </w:rPr>
                                <w:t>1</w:t>
                              </w:r>
                              <w:r>
                                <w:rPr>
                                  <w:rStyle w:val="30"/>
                                  <w:rFonts w:hint="eastAsia" w:ascii="Times New Roman"/>
                                </w:rPr>
                                <w:t>层</w:t>
                              </w:r>
                            </w:p>
                            <w:p w14:paraId="36827BE1">
                              <w:pPr>
                                <w:spacing w:line="240" w:lineRule="auto"/>
                                <w:ind w:firstLine="360" w:firstLineChars="200"/>
                                <w:rPr>
                                  <w:rStyle w:val="30"/>
                                  <w:rFonts w:ascii="Times New Roman"/>
                                </w:rPr>
                              </w:pPr>
                              <w:r>
                                <w:rPr>
                                  <w:rStyle w:val="30"/>
                                  <w:rFonts w:hint="eastAsia" w:ascii="Times New Roman"/>
                                </w:rPr>
                                <w:t>邮政编码：</w:t>
                              </w:r>
                              <w:r>
                                <w:rPr>
                                  <w:rStyle w:val="30"/>
                                  <w:rFonts w:ascii="Times New Roman"/>
                                </w:rPr>
                                <w:t>100048</w:t>
                              </w:r>
                              <w:r>
                                <w:rPr>
                                  <w:rStyle w:val="30"/>
                                  <w:rFonts w:hint="eastAsia" w:ascii="Times New Roman"/>
                                </w:rPr>
                                <w:t xml:space="preserve">  电话：</w:t>
                              </w:r>
                              <w:r>
                                <w:rPr>
                                  <w:rStyle w:val="30"/>
                                  <w:rFonts w:ascii="Times New Roman"/>
                                </w:rPr>
                                <w:t>010-68799027</w:t>
                              </w:r>
                              <w:r>
                                <w:rPr>
                                  <w:rStyle w:val="30"/>
                                  <w:rFonts w:hint="eastAsia" w:ascii="Times New Roman"/>
                                </w:rPr>
                                <w:t xml:space="preserve">  传真：010-</w:t>
                              </w:r>
                              <w:r>
                                <w:rPr>
                                  <w:rStyle w:val="30"/>
                                  <w:rFonts w:ascii="Times New Roman"/>
                                </w:rPr>
                                <w:t>68799050</w:t>
                              </w:r>
                            </w:p>
                            <w:p w14:paraId="46D74213">
                              <w:pPr>
                                <w:spacing w:line="240" w:lineRule="auto"/>
                                <w:ind w:firstLine="360" w:firstLineChars="200"/>
                                <w:rPr>
                                  <w:rFonts w:ascii="Times New Roman" w:hAnsi="Times New Roman"/>
                                </w:rPr>
                              </w:pPr>
                              <w:r>
                                <w:rPr>
                                  <w:rStyle w:val="30"/>
                                  <w:rFonts w:hint="eastAsia" w:ascii="Times New Roman"/>
                                </w:rPr>
                                <w:t>网址：</w:t>
                              </w:r>
                              <w:r>
                                <w:fldChar w:fldCharType="begin"/>
                              </w:r>
                              <w:r>
                                <w:instrText xml:space="preserve"> HYPERLINK "http://www.cmes." </w:instrText>
                              </w:r>
                              <w:r>
                                <w:fldChar w:fldCharType="separate"/>
                              </w:r>
                              <w:r>
                                <w:rPr>
                                  <w:rStyle w:val="31"/>
                                  <w:rFonts w:ascii="Times New Roman" w:hAnsi="Times New Roman" w:cs="宋体"/>
                                  <w:color w:val="auto"/>
                                  <w:sz w:val="18"/>
                                  <w:szCs w:val="18"/>
                                  <w:u w:val="none"/>
                                </w:rPr>
                                <w:t>www.cmes.</w:t>
                              </w:r>
                              <w:r>
                                <w:rPr>
                                  <w:rStyle w:val="31"/>
                                  <w:rFonts w:ascii="Times New Roman" w:hAnsi="Times New Roman" w:cs="宋体"/>
                                  <w:color w:val="auto"/>
                                  <w:sz w:val="18"/>
                                  <w:szCs w:val="18"/>
                                  <w:u w:val="none"/>
                                </w:rPr>
                                <w:fldChar w:fldCharType="end"/>
                              </w:r>
                              <w:r>
                                <w:rPr>
                                  <w:rStyle w:val="30"/>
                                  <w:rFonts w:ascii="Times New Roman"/>
                                </w:rPr>
                                <w:t xml:space="preserve">org   </w:t>
                              </w:r>
                              <w:r>
                                <w:rPr>
                                  <w:rStyle w:val="30"/>
                                  <w:rFonts w:hint="eastAsia" w:ascii="Times New Roman"/>
                                </w:rPr>
                                <w:t>联系人：袁俊瑞</w:t>
                              </w:r>
                              <w:r>
                                <w:rPr>
                                  <w:rStyle w:val="30"/>
                                  <w:rFonts w:ascii="Times New Roman"/>
                                </w:rPr>
                                <w:t xml:space="preserve">   </w:t>
                              </w:r>
                              <w:r>
                                <w:rPr>
                                  <w:rStyle w:val="30"/>
                                  <w:rFonts w:hint="eastAsia" w:ascii="Times New Roman"/>
                                </w:rPr>
                                <w:t>电子信箱：</w:t>
                              </w:r>
                              <w:r>
                                <w:rPr>
                                  <w:rStyle w:val="30"/>
                                  <w:rFonts w:ascii="Times New Roman"/>
                                </w:rPr>
                                <w:t>yuanjr@cmes.org</w:t>
                              </w:r>
                            </w:p>
                          </w:txbxContent>
                        </wps:txbx>
                        <wps:bodyPr rot="0" vert="horz" wrap="square" lIns="0" tIns="0" rIns="0" bIns="0" anchor="t" anchorCtr="0">
                          <a:spAutoFit/>
                        </wps:bodyPr>
                      </wps:wsp>
                      <wps:wsp>
                        <wps:cNvPr id="77" name="Line 65"/>
                        <wps:cNvCnPr>
                          <a:cxnSpLocks noChangeShapeType="1"/>
                        </wps:cNvCnPr>
                        <wps:spPr bwMode="auto">
                          <a:xfrm>
                            <a:off x="0" y="1520659"/>
                            <a:ext cx="4304885" cy="0"/>
                          </a:xfrm>
                          <a:prstGeom prst="line">
                            <a:avLst/>
                          </a:prstGeom>
                          <a:noFill/>
                          <a:ln w="76200" cmpd="tri">
                            <a:solidFill>
                              <a:srgbClr val="000000"/>
                            </a:solidFill>
                            <a:round/>
                          </a:ln>
                        </wps:spPr>
                        <wps:bodyPr/>
                      </wps:wsp>
                    </wpg:wgp>
                  </a:graphicData>
                </a:graphic>
              </wp:inline>
            </w:drawing>
          </mc:Choice>
          <mc:Fallback>
            <w:pict>
              <v:group id="_x0000_s1026" o:spid="_x0000_s1026" o:spt="203" style="height:105.65pt;width:339.75pt;" coordorigin="-9940,178904" coordsize="4314825,1341755" o:gfxdata="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Mr44kzXAAAABQEAAA8AAAAAAAAAAQAgAAAAIgAAAGRycy9kb3ducmV2LnhtbFBLAQIUABQAAAAI&#10;AIdO4kDxFnoYCwMAADIHAAAOAAAAAAAAAAEAIAAAACYBAABkcnMvZTJvRG9jLnhtbFBLBQYAAAAA&#10;BgAGAFkBAACjBgAAAAA=&#10;">
                <o:lock v:ext="edit" aspectratio="f"/>
                <v:shape id="文本框 2" o:spid="_x0000_s1026" o:spt="202" type="#_x0000_t202" style="position:absolute;left:-9940;top:178904;height:1198244;width:4248150;" filled="f" stroked="f" coordsize="21600,21600" o:gfxdata="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8eZ25AAAA2g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inset="0mm,0mm,0mm,0mm" style="mso-fit-shape-to-text:t;">
                    <w:txbxContent>
                      <w:p w14:paraId="15204B0A">
                        <w:pPr>
                          <w:spacing w:line="240" w:lineRule="auto"/>
                          <w:ind w:firstLine="360" w:firstLineChars="200"/>
                          <w:rPr>
                            <w:rStyle w:val="30"/>
                            <w:rFonts w:ascii="Times New Roman"/>
                          </w:rPr>
                        </w:pPr>
                      </w:p>
                      <w:p w14:paraId="12EB7C60">
                        <w:pPr>
                          <w:spacing w:line="240" w:lineRule="auto"/>
                          <w:ind w:firstLine="360" w:firstLineChars="200"/>
                          <w:rPr>
                            <w:rStyle w:val="30"/>
                            <w:rFonts w:ascii="Times New Roman" w:cs="Times New Roman"/>
                          </w:rPr>
                        </w:pPr>
                        <w:r>
                          <w:rPr>
                            <w:rStyle w:val="30"/>
                            <w:rFonts w:hint="eastAsia" w:ascii="Times New Roman"/>
                          </w:rPr>
                          <w:t>本标准版权为中国机械工程学会所有。除了用于国家法律或事先得到中国机械工程学会正式许可外，不许以任何形式复制、传播该标准或用于其他商业目的。</w:t>
                        </w:r>
                      </w:p>
                      <w:p w14:paraId="6F0F3C20">
                        <w:pPr>
                          <w:spacing w:line="240" w:lineRule="auto"/>
                          <w:ind w:firstLine="360" w:firstLineChars="200"/>
                          <w:rPr>
                            <w:rStyle w:val="30"/>
                            <w:rFonts w:ascii="Times New Roman" w:cs="Times New Roman"/>
                          </w:rPr>
                        </w:pPr>
                        <w:r>
                          <w:rPr>
                            <w:rStyle w:val="30"/>
                            <w:rFonts w:hint="eastAsia" w:ascii="Times New Roman"/>
                          </w:rPr>
                          <w:t>中国机械工程学会地址：北京市海淀区首体南路9号主语国际4座1</w:t>
                        </w:r>
                        <w:r>
                          <w:rPr>
                            <w:rStyle w:val="30"/>
                            <w:rFonts w:ascii="Times New Roman"/>
                          </w:rPr>
                          <w:t>1</w:t>
                        </w:r>
                        <w:r>
                          <w:rPr>
                            <w:rStyle w:val="30"/>
                            <w:rFonts w:hint="eastAsia" w:ascii="Times New Roman"/>
                          </w:rPr>
                          <w:t>层</w:t>
                        </w:r>
                      </w:p>
                      <w:p w14:paraId="36827BE1">
                        <w:pPr>
                          <w:spacing w:line="240" w:lineRule="auto"/>
                          <w:ind w:firstLine="360" w:firstLineChars="200"/>
                          <w:rPr>
                            <w:rStyle w:val="30"/>
                            <w:rFonts w:ascii="Times New Roman"/>
                          </w:rPr>
                        </w:pPr>
                        <w:r>
                          <w:rPr>
                            <w:rStyle w:val="30"/>
                            <w:rFonts w:hint="eastAsia" w:ascii="Times New Roman"/>
                          </w:rPr>
                          <w:t>邮政编码：</w:t>
                        </w:r>
                        <w:r>
                          <w:rPr>
                            <w:rStyle w:val="30"/>
                            <w:rFonts w:ascii="Times New Roman"/>
                          </w:rPr>
                          <w:t>100048</w:t>
                        </w:r>
                        <w:r>
                          <w:rPr>
                            <w:rStyle w:val="30"/>
                            <w:rFonts w:hint="eastAsia" w:ascii="Times New Roman"/>
                          </w:rPr>
                          <w:t xml:space="preserve">  电话：</w:t>
                        </w:r>
                        <w:r>
                          <w:rPr>
                            <w:rStyle w:val="30"/>
                            <w:rFonts w:ascii="Times New Roman"/>
                          </w:rPr>
                          <w:t>010-68799027</w:t>
                        </w:r>
                        <w:r>
                          <w:rPr>
                            <w:rStyle w:val="30"/>
                            <w:rFonts w:hint="eastAsia" w:ascii="Times New Roman"/>
                          </w:rPr>
                          <w:t xml:space="preserve">  传真：010-</w:t>
                        </w:r>
                        <w:r>
                          <w:rPr>
                            <w:rStyle w:val="30"/>
                            <w:rFonts w:ascii="Times New Roman"/>
                          </w:rPr>
                          <w:t>68799050</w:t>
                        </w:r>
                      </w:p>
                      <w:p w14:paraId="46D74213">
                        <w:pPr>
                          <w:spacing w:line="240" w:lineRule="auto"/>
                          <w:ind w:firstLine="360" w:firstLineChars="200"/>
                          <w:rPr>
                            <w:rFonts w:ascii="Times New Roman" w:hAnsi="Times New Roman"/>
                          </w:rPr>
                        </w:pPr>
                        <w:r>
                          <w:rPr>
                            <w:rStyle w:val="30"/>
                            <w:rFonts w:hint="eastAsia" w:ascii="Times New Roman"/>
                          </w:rPr>
                          <w:t>网址：</w:t>
                        </w:r>
                        <w:r>
                          <w:fldChar w:fldCharType="begin"/>
                        </w:r>
                        <w:r>
                          <w:instrText xml:space="preserve"> HYPERLINK "http://www.cmes." </w:instrText>
                        </w:r>
                        <w:r>
                          <w:fldChar w:fldCharType="separate"/>
                        </w:r>
                        <w:r>
                          <w:rPr>
                            <w:rStyle w:val="31"/>
                            <w:rFonts w:ascii="Times New Roman" w:hAnsi="Times New Roman" w:cs="宋体"/>
                            <w:color w:val="auto"/>
                            <w:sz w:val="18"/>
                            <w:szCs w:val="18"/>
                            <w:u w:val="none"/>
                          </w:rPr>
                          <w:t>www.cmes.</w:t>
                        </w:r>
                        <w:r>
                          <w:rPr>
                            <w:rStyle w:val="31"/>
                            <w:rFonts w:ascii="Times New Roman" w:hAnsi="Times New Roman" w:cs="宋体"/>
                            <w:color w:val="auto"/>
                            <w:sz w:val="18"/>
                            <w:szCs w:val="18"/>
                            <w:u w:val="none"/>
                          </w:rPr>
                          <w:fldChar w:fldCharType="end"/>
                        </w:r>
                        <w:r>
                          <w:rPr>
                            <w:rStyle w:val="30"/>
                            <w:rFonts w:ascii="Times New Roman"/>
                          </w:rPr>
                          <w:t xml:space="preserve">org   </w:t>
                        </w:r>
                        <w:r>
                          <w:rPr>
                            <w:rStyle w:val="30"/>
                            <w:rFonts w:hint="eastAsia" w:ascii="Times New Roman"/>
                          </w:rPr>
                          <w:t>联系人：袁俊瑞</w:t>
                        </w:r>
                        <w:r>
                          <w:rPr>
                            <w:rStyle w:val="30"/>
                            <w:rFonts w:ascii="Times New Roman"/>
                          </w:rPr>
                          <w:t xml:space="preserve">   </w:t>
                        </w:r>
                        <w:r>
                          <w:rPr>
                            <w:rStyle w:val="30"/>
                            <w:rFonts w:hint="eastAsia" w:ascii="Times New Roman"/>
                          </w:rPr>
                          <w:t>电子信箱：</w:t>
                        </w:r>
                        <w:r>
                          <w:rPr>
                            <w:rStyle w:val="30"/>
                            <w:rFonts w:ascii="Times New Roman"/>
                          </w:rPr>
                          <w:t>yuanjr@cmes.org</w:t>
                        </w:r>
                      </w:p>
                    </w:txbxContent>
                  </v:textbox>
                </v:shape>
                <v:line id="Line 65" o:spid="_x0000_s1026" o:spt="20" style="position:absolute;left:0;top:1520659;height:0;width:4304885;" filled="f" stroked="t" coordsize="21600,21600" o:gfxdata="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edLsAAADb&#10;AAAADwAAAAAAAAABACAAAAAiAAAAZHJzL2Rvd25yZXYueG1sUEsBAhQAFAAAAAgAh07iQDMvBZ47&#10;AAAAOQAAABAAAAAAAAAAAQAgAAAACgEAAGRycy9zaGFwZXhtbC54bWxQSwUGAAAAAAYABgBbAQAA&#10;tAMAAAAA&#10;">
                  <v:fill on="f" focussize="0,0"/>
                  <v:stroke weight="6pt" color="#000000" linestyle="thickBetweenThin" joinstyle="round"/>
                  <v:imagedata o:title=""/>
                  <o:lock v:ext="edit" aspectratio="f"/>
                </v:line>
                <w10:wrap type="none"/>
                <w10:anchorlock/>
              </v:group>
            </w:pict>
          </mc:Fallback>
        </mc:AlternateContent>
      </w:r>
    </w:p>
    <w:p w14:paraId="423DE19C">
      <w:pPr>
        <w:pStyle w:val="52"/>
        <w:spacing w:before="624" w:beforeLines="200" w:after="312" w:afterLines="100" w:line="480" w:lineRule="exact"/>
        <w:ind w:firstLine="641"/>
        <w:outlineLvl w:val="9"/>
        <w:rPr>
          <w:rFonts w:hint="eastAsia"/>
        </w:rPr>
      </w:pPr>
      <w:bookmarkStart w:id="0" w:name="_Toc72998444"/>
      <w:bookmarkStart w:id="1" w:name="_Toc75444051"/>
      <w:bookmarkStart w:id="2" w:name="_Toc10023"/>
      <w:bookmarkStart w:id="3" w:name="_Toc76030685"/>
      <w:bookmarkStart w:id="4" w:name="_Toc195806932"/>
      <w:bookmarkStart w:id="5" w:name="_Toc942345"/>
      <w:bookmarkStart w:id="6" w:name="_Toc75166219"/>
      <w:bookmarkStart w:id="7" w:name="_Toc38637568"/>
      <w:bookmarkStart w:id="8" w:name="_Toc2148"/>
      <w:bookmarkStart w:id="9" w:name="_Toc33448065"/>
      <w:bookmarkStart w:id="10" w:name="_Toc942016"/>
      <w:bookmarkStart w:id="11" w:name="_Toc75969045"/>
      <w:bookmarkStart w:id="12" w:name="_Toc1651879"/>
      <w:bookmarkStart w:id="13" w:name="_Toc39844923"/>
      <w:r>
        <w:rPr>
          <w:rFonts w:hint="eastAsia"/>
        </w:rPr>
        <w:t>目  次</w:t>
      </w:r>
      <w:bookmarkEnd w:id="0"/>
      <w:bookmarkEnd w:id="1"/>
      <w:bookmarkEnd w:id="2"/>
      <w:bookmarkEnd w:id="3"/>
      <w:bookmarkEnd w:id="4"/>
      <w:bookmarkEnd w:id="5"/>
      <w:bookmarkEnd w:id="6"/>
      <w:bookmarkEnd w:id="7"/>
      <w:bookmarkEnd w:id="8"/>
      <w:bookmarkEnd w:id="9"/>
      <w:bookmarkEnd w:id="10"/>
      <w:bookmarkEnd w:id="11"/>
      <w:bookmarkEnd w:id="12"/>
    </w:p>
    <w:p w14:paraId="10C6DFE9">
      <w:pPr>
        <w:pStyle w:val="19"/>
        <w:keepNext w:val="0"/>
        <w:keepLines w:val="0"/>
        <w:pageBreakBefore w:val="0"/>
        <w:widowControl w:val="0"/>
        <w:tabs>
          <w:tab w:val="right" w:leader="dot" w:pos="9070"/>
          <w:tab w:val="clear" w:pos="567"/>
          <w:tab w:val="clear" w:pos="9060"/>
        </w:tabs>
        <w:kinsoku/>
        <w:wordWrap/>
        <w:overflowPunct/>
        <w:topLinePunct w:val="0"/>
        <w:autoSpaceDE/>
        <w:autoSpaceDN/>
        <w:bidi w:val="0"/>
        <w:adjustRightInd w:val="0"/>
        <w:snapToGrid/>
        <w:ind w:left="0" w:leftChars="0"/>
        <w:jc w:val="both"/>
        <w:textAlignment w:val="auto"/>
        <w:rPr>
          <w:rFonts w:hint="default" w:ascii="Times New Roman" w:hAnsi="Times New Roman" w:eastAsia="宋体" w:cs="Times New Roman"/>
        </w:rPr>
      </w:pPr>
      <w:r>
        <w:rPr>
          <w:rFonts w:cs="Times New Roman"/>
        </w:rPr>
        <w:fldChar w:fldCharType="begin"/>
      </w:r>
      <w:r>
        <w:rPr>
          <w:rFonts w:cs="Times New Roman"/>
        </w:rPr>
        <w:instrText xml:space="preserve"> TOC \o "1-2" \h \z \u </w:instrText>
      </w:r>
      <w:r>
        <w:rPr>
          <w:rFonts w:cs="Times New Roman"/>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_Toc2945 </w:instrText>
      </w:r>
      <w:r>
        <w:rPr>
          <w:rFonts w:hint="default" w:ascii="Times New Roman" w:hAnsi="Times New Roman" w:eastAsia="宋体" w:cs="Times New Roman"/>
        </w:rPr>
        <w:fldChar w:fldCharType="separate"/>
      </w:r>
      <w:r>
        <w:rPr>
          <w:rFonts w:hint="default" w:ascii="Times New Roman" w:hAnsi="Times New Roman" w:eastAsia="宋体" w:cs="Times New Roman"/>
          <w:bCs/>
        </w:rPr>
        <w:t>前言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_Toc2945 \h </w:instrText>
      </w:r>
      <w:r>
        <w:rPr>
          <w:rFonts w:hint="default" w:ascii="Times New Roman" w:hAnsi="Times New Roman" w:eastAsia="宋体" w:cs="Times New Roman"/>
        </w:rPr>
        <w:fldChar w:fldCharType="separate"/>
      </w:r>
      <w:r>
        <w:rPr>
          <w:rFonts w:hint="default" w:ascii="Times New Roman" w:hAnsi="Times New Roman" w:eastAsia="宋体" w:cs="Times New Roman"/>
        </w:rPr>
        <w:t>IV</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56853654">
      <w:pPr>
        <w:pStyle w:val="19"/>
        <w:keepNext w:val="0"/>
        <w:keepLines w:val="0"/>
        <w:pageBreakBefore w:val="0"/>
        <w:widowControl w:val="0"/>
        <w:tabs>
          <w:tab w:val="right" w:leader="dot" w:pos="9070"/>
          <w:tab w:val="clear" w:pos="567"/>
          <w:tab w:val="clear" w:pos="9060"/>
        </w:tabs>
        <w:kinsoku/>
        <w:wordWrap/>
        <w:overflowPunct/>
        <w:topLinePunct w:val="0"/>
        <w:autoSpaceDE/>
        <w:autoSpaceDN/>
        <w:bidi w:val="0"/>
        <w:adjustRightInd w:val="0"/>
        <w:snapToGrid/>
        <w:ind w:left="0" w:leftChars="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_Toc15957 </w:instrText>
      </w:r>
      <w:r>
        <w:rPr>
          <w:rFonts w:hint="default" w:ascii="Times New Roman" w:hAnsi="Times New Roman" w:eastAsia="宋体" w:cs="Times New Roman"/>
        </w:rPr>
        <w:fldChar w:fldCharType="separate"/>
      </w:r>
      <w:r>
        <w:rPr>
          <w:rFonts w:hint="default" w:ascii="Times New Roman" w:hAnsi="Times New Roman" w:eastAsia="宋体" w:cs="Times New Roman"/>
          <w:bCs/>
          <w:lang w:bidi="ar"/>
        </w:rPr>
        <w:t>引言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_Toc15957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1528BF08">
      <w:pPr>
        <w:pStyle w:val="19"/>
        <w:keepNext w:val="0"/>
        <w:keepLines w:val="0"/>
        <w:pageBreakBefore w:val="0"/>
        <w:widowControl w:val="0"/>
        <w:tabs>
          <w:tab w:val="right" w:leader="dot" w:pos="9070"/>
          <w:tab w:val="clear" w:pos="567"/>
          <w:tab w:val="clear" w:pos="9060"/>
        </w:tabs>
        <w:kinsoku/>
        <w:wordWrap/>
        <w:overflowPunct/>
        <w:topLinePunct w:val="0"/>
        <w:autoSpaceDE/>
        <w:autoSpaceDN/>
        <w:bidi w:val="0"/>
        <w:adjustRightInd w:val="0"/>
        <w:snapToGrid/>
        <w:ind w:left="0" w:leftChars="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_Toc24215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1 </w:t>
      </w:r>
      <w:r>
        <w:rPr>
          <w:rFonts w:hint="default" w:ascii="Times New Roman" w:hAnsi="Times New Roman" w:eastAsia="宋体" w:cs="Times New Roman"/>
        </w:rPr>
        <w:t>范围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_Toc24215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3D3470B4">
      <w:pPr>
        <w:pStyle w:val="19"/>
        <w:keepNext w:val="0"/>
        <w:keepLines w:val="0"/>
        <w:pageBreakBefore w:val="0"/>
        <w:widowControl w:val="0"/>
        <w:tabs>
          <w:tab w:val="right" w:leader="dot" w:pos="9070"/>
          <w:tab w:val="clear" w:pos="567"/>
          <w:tab w:val="clear" w:pos="9060"/>
        </w:tabs>
        <w:kinsoku/>
        <w:wordWrap/>
        <w:overflowPunct/>
        <w:topLinePunct w:val="0"/>
        <w:autoSpaceDE/>
        <w:autoSpaceDN/>
        <w:bidi w:val="0"/>
        <w:adjustRightInd w:val="0"/>
        <w:snapToGrid/>
        <w:ind w:left="0" w:leftChars="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_Toc1461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2 </w:t>
      </w:r>
      <w:r>
        <w:rPr>
          <w:rFonts w:hint="default" w:ascii="Times New Roman" w:hAnsi="Times New Roman" w:eastAsia="宋体" w:cs="Times New Roman"/>
        </w:rPr>
        <w:t>规范性引用文件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_Toc1461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D9C94D3">
      <w:pPr>
        <w:pStyle w:val="19"/>
        <w:keepNext w:val="0"/>
        <w:keepLines w:val="0"/>
        <w:pageBreakBefore w:val="0"/>
        <w:widowControl w:val="0"/>
        <w:tabs>
          <w:tab w:val="right" w:leader="dot" w:pos="9070"/>
          <w:tab w:val="clear" w:pos="567"/>
          <w:tab w:val="clear" w:pos="9060"/>
        </w:tabs>
        <w:kinsoku/>
        <w:wordWrap/>
        <w:overflowPunct/>
        <w:topLinePunct w:val="0"/>
        <w:autoSpaceDE/>
        <w:autoSpaceDN/>
        <w:bidi w:val="0"/>
        <w:adjustRightInd w:val="0"/>
        <w:snapToGrid/>
        <w:ind w:left="0" w:leftChars="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_Toc32446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3 </w:t>
      </w:r>
      <w:r>
        <w:rPr>
          <w:rFonts w:hint="default" w:ascii="Times New Roman" w:hAnsi="Times New Roman" w:eastAsia="宋体" w:cs="Times New Roman"/>
        </w:rPr>
        <w:t>术语和定义</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_Toc32446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823C1E9">
      <w:pPr>
        <w:pStyle w:val="19"/>
        <w:keepNext w:val="0"/>
        <w:keepLines w:val="0"/>
        <w:pageBreakBefore w:val="0"/>
        <w:widowControl w:val="0"/>
        <w:tabs>
          <w:tab w:val="right" w:leader="dot" w:pos="9070"/>
          <w:tab w:val="clear" w:pos="567"/>
          <w:tab w:val="clear" w:pos="9060"/>
        </w:tabs>
        <w:kinsoku/>
        <w:wordWrap/>
        <w:overflowPunct/>
        <w:topLinePunct w:val="0"/>
        <w:autoSpaceDE/>
        <w:autoSpaceDN/>
        <w:bidi w:val="0"/>
        <w:adjustRightInd w:val="0"/>
        <w:snapToGrid/>
        <w:ind w:left="0" w:leftChars="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_Toc10750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4 </w:t>
      </w:r>
      <w:r>
        <w:rPr>
          <w:rFonts w:hint="default" w:ascii="Times New Roman" w:hAnsi="Times New Roman" w:eastAsia="宋体" w:cs="Times New Roman"/>
        </w:rPr>
        <w:t>基本要求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_Toc10750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DCF301F">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_Toc21272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4.1 </w:t>
      </w:r>
      <w:r>
        <w:rPr>
          <w:rFonts w:hint="default" w:ascii="Times New Roman" w:hAnsi="Times New Roman" w:eastAsia="宋体" w:cs="Times New Roman"/>
        </w:rPr>
        <w:t>原料要求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_Toc21272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38740017">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_Toc5178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4.2 </w:t>
      </w:r>
      <w:r>
        <w:rPr>
          <w:rFonts w:hint="default" w:ascii="Times New Roman" w:hAnsi="Times New Roman" w:eastAsia="宋体" w:cs="Times New Roman"/>
        </w:rPr>
        <w:t>加工用水要求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_Toc5178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80C8ECB">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_Toc16111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4.3 </w:t>
      </w:r>
      <w:r>
        <w:rPr>
          <w:rFonts w:hint="default" w:ascii="Times New Roman" w:hAnsi="Times New Roman" w:eastAsia="宋体" w:cs="Times New Roman"/>
        </w:rPr>
        <w:t>车间及设施要求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_Toc16111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DDD2B90">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_Toc18995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4.4 </w:t>
      </w:r>
      <w:r>
        <w:rPr>
          <w:rFonts w:hint="default" w:ascii="Times New Roman" w:hAnsi="Times New Roman" w:eastAsia="宋体" w:cs="Times New Roman"/>
        </w:rPr>
        <w:t>排水设施要求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_Toc18995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35326EA3">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_Toc17711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4.5 </w:t>
      </w:r>
      <w:r>
        <w:rPr>
          <w:rFonts w:hint="default" w:ascii="Times New Roman" w:hAnsi="Times New Roman" w:eastAsia="宋体" w:cs="Times New Roman"/>
        </w:rPr>
        <w:t>生产设备组成及要求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_Toc17711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86FF19B">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_Toc277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kern w:val="0"/>
          <w:szCs w:val="21"/>
        </w:rPr>
        <w:t xml:space="preserve">4.6 </w:t>
      </w:r>
      <w:r>
        <w:rPr>
          <w:rFonts w:hint="default" w:ascii="Times New Roman" w:hAnsi="Times New Roman" w:eastAsia="宋体" w:cs="Times New Roman"/>
          <w:kern w:val="0"/>
        </w:rPr>
        <w:t>人员要求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_Toc277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85C5CD4">
      <w:pPr>
        <w:pStyle w:val="19"/>
        <w:keepNext w:val="0"/>
        <w:keepLines w:val="0"/>
        <w:pageBreakBefore w:val="0"/>
        <w:widowControl w:val="0"/>
        <w:tabs>
          <w:tab w:val="right" w:leader="dot" w:pos="9070"/>
          <w:tab w:val="clear" w:pos="567"/>
          <w:tab w:val="clear" w:pos="9060"/>
        </w:tabs>
        <w:kinsoku/>
        <w:wordWrap/>
        <w:overflowPunct/>
        <w:topLinePunct w:val="0"/>
        <w:autoSpaceDE/>
        <w:autoSpaceDN/>
        <w:bidi w:val="0"/>
        <w:adjustRightInd w:val="0"/>
        <w:snapToGrid/>
        <w:ind w:left="0" w:leftChars="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_Toc32067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5 </w:t>
      </w:r>
      <w:r>
        <w:rPr>
          <w:rFonts w:hint="default" w:ascii="Times New Roman" w:hAnsi="Times New Roman" w:eastAsia="宋体" w:cs="Times New Roman"/>
        </w:rPr>
        <w:t>安全技术要求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_Toc32067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1B18F738">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_Toc5578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kern w:val="0"/>
          <w:szCs w:val="21"/>
        </w:rPr>
        <w:t xml:space="preserve">5.1 </w:t>
      </w:r>
      <w:r>
        <w:rPr>
          <w:rFonts w:hint="default" w:ascii="Times New Roman" w:hAnsi="Times New Roman" w:eastAsia="宋体" w:cs="Times New Roman"/>
          <w:kern w:val="0"/>
        </w:rPr>
        <w:t>卫生安全要求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_Toc5578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3BE8D06">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_Toc3824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kern w:val="0"/>
          <w:szCs w:val="21"/>
        </w:rPr>
        <w:t xml:space="preserve">5.2 </w:t>
      </w:r>
      <w:r>
        <w:rPr>
          <w:rFonts w:hint="default" w:ascii="Times New Roman" w:hAnsi="Times New Roman" w:eastAsia="宋体" w:cs="Times New Roman"/>
          <w:kern w:val="0"/>
        </w:rPr>
        <w:t>操作安全要求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_Toc3824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98C881D">
      <w:pPr>
        <w:pStyle w:val="19"/>
        <w:keepNext w:val="0"/>
        <w:keepLines w:val="0"/>
        <w:pageBreakBefore w:val="0"/>
        <w:widowControl w:val="0"/>
        <w:tabs>
          <w:tab w:val="right" w:leader="dot" w:pos="9070"/>
          <w:tab w:val="clear" w:pos="567"/>
          <w:tab w:val="clear" w:pos="9060"/>
        </w:tabs>
        <w:kinsoku/>
        <w:wordWrap/>
        <w:overflowPunct/>
        <w:topLinePunct w:val="0"/>
        <w:autoSpaceDE/>
        <w:autoSpaceDN/>
        <w:bidi w:val="0"/>
        <w:adjustRightInd w:val="0"/>
        <w:snapToGrid/>
        <w:ind w:left="0" w:leftChars="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_Toc23934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6 </w:t>
      </w:r>
      <w:r>
        <w:rPr>
          <w:rFonts w:hint="default" w:ascii="Times New Roman" w:hAnsi="Times New Roman" w:eastAsia="宋体" w:cs="Times New Roman"/>
        </w:rPr>
        <w:t>加工技术要求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_Toc23934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4B2E41B">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_Toc32069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6.1 </w:t>
      </w:r>
      <w:r>
        <w:rPr>
          <w:rFonts w:hint="default" w:ascii="Times New Roman" w:hAnsi="Times New Roman" w:eastAsia="宋体" w:cs="Times New Roman"/>
        </w:rPr>
        <w:t>加工工艺流程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_Toc32069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ADE48C9">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_Toc3916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6.2 </w:t>
      </w:r>
      <w:r>
        <w:rPr>
          <w:rFonts w:hint="default" w:ascii="Times New Roman" w:hAnsi="Times New Roman" w:eastAsia="宋体" w:cs="Times New Roman"/>
        </w:rPr>
        <w:t>工艺要求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_Toc3916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20FBC09">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_Toc2579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6.3 </w:t>
      </w:r>
      <w:r>
        <w:rPr>
          <w:rFonts w:hint="default" w:ascii="Times New Roman" w:hAnsi="Times New Roman" w:eastAsia="宋体" w:cs="Times New Roman"/>
        </w:rPr>
        <w:t>金属探测</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_Toc2579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4E9EED6">
      <w:pPr>
        <w:pStyle w:val="19"/>
        <w:keepNext w:val="0"/>
        <w:keepLines w:val="0"/>
        <w:pageBreakBefore w:val="0"/>
        <w:widowControl w:val="0"/>
        <w:tabs>
          <w:tab w:val="right" w:leader="dot" w:pos="9070"/>
          <w:tab w:val="clear" w:pos="567"/>
          <w:tab w:val="clear" w:pos="9060"/>
        </w:tabs>
        <w:kinsoku/>
        <w:wordWrap/>
        <w:overflowPunct/>
        <w:topLinePunct w:val="0"/>
        <w:autoSpaceDE/>
        <w:autoSpaceDN/>
        <w:bidi w:val="0"/>
        <w:adjustRightInd w:val="0"/>
        <w:snapToGrid/>
        <w:ind w:left="0" w:leftChars="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_Toc14430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7 </w:t>
      </w:r>
      <w:r>
        <w:rPr>
          <w:rFonts w:hint="default" w:ascii="Times New Roman" w:hAnsi="Times New Roman" w:eastAsia="宋体" w:cs="Times New Roman"/>
        </w:rPr>
        <w:t>产品要求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_Toc14430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124321D">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_Toc32267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7.1 </w:t>
      </w:r>
      <w:r>
        <w:rPr>
          <w:rFonts w:hint="default" w:ascii="Times New Roman" w:hAnsi="Times New Roman" w:eastAsia="宋体" w:cs="Times New Roman"/>
        </w:rPr>
        <w:t>感官要求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_Toc32267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3CC9953">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_Toc30214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7.2 </w:t>
      </w:r>
      <w:r>
        <w:rPr>
          <w:rFonts w:hint="default" w:ascii="Times New Roman" w:hAnsi="Times New Roman" w:eastAsia="宋体" w:cs="Times New Roman"/>
        </w:rPr>
        <w:t>理化指标</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_Toc30214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3F0BDA13">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_Toc17149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7.3 </w:t>
      </w:r>
      <w:r>
        <w:rPr>
          <w:rFonts w:hint="default" w:ascii="Times New Roman" w:hAnsi="Times New Roman" w:eastAsia="宋体" w:cs="Times New Roman"/>
        </w:rPr>
        <w:t>微生物限量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_Toc17149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28B6C7E">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_Toc19862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7.4 </w:t>
      </w:r>
      <w:r>
        <w:rPr>
          <w:rFonts w:hint="default" w:ascii="Times New Roman" w:hAnsi="Times New Roman" w:eastAsia="宋体" w:cs="Times New Roman"/>
        </w:rPr>
        <w:t>污染物限量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_Toc19862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C3E3BB7">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_Toc26819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7.5 </w:t>
      </w:r>
      <w:r>
        <w:rPr>
          <w:rFonts w:hint="default" w:ascii="Times New Roman" w:hAnsi="Times New Roman" w:eastAsia="宋体" w:cs="Times New Roman"/>
        </w:rPr>
        <w:t>农药残留限量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_Toc26819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B1293E4">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_Toc13028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7.6 </w:t>
      </w:r>
      <w:r>
        <w:rPr>
          <w:rFonts w:hint="default" w:ascii="Times New Roman" w:hAnsi="Times New Roman" w:eastAsia="宋体" w:cs="Times New Roman"/>
        </w:rPr>
        <w:t>生产加工过程的卫生要求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_Toc13028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9A7E8D2">
      <w:pPr>
        <w:pStyle w:val="19"/>
        <w:keepNext w:val="0"/>
        <w:keepLines w:val="0"/>
        <w:pageBreakBefore w:val="0"/>
        <w:widowControl w:val="0"/>
        <w:tabs>
          <w:tab w:val="right" w:leader="dot" w:pos="9070"/>
          <w:tab w:val="clear" w:pos="567"/>
          <w:tab w:val="clear" w:pos="9060"/>
        </w:tabs>
        <w:kinsoku/>
        <w:wordWrap/>
        <w:overflowPunct/>
        <w:topLinePunct w:val="0"/>
        <w:autoSpaceDE/>
        <w:autoSpaceDN/>
        <w:bidi w:val="0"/>
        <w:adjustRightInd w:val="0"/>
        <w:snapToGrid/>
        <w:ind w:left="0" w:leftChars="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_Toc26515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8 </w:t>
      </w:r>
      <w:r>
        <w:rPr>
          <w:rFonts w:hint="default" w:ascii="Times New Roman" w:hAnsi="Times New Roman" w:eastAsia="宋体" w:cs="Times New Roman"/>
        </w:rPr>
        <w:t>产品检验</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_Toc26515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C6756C4">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_Toc31732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8.1 </w:t>
      </w:r>
      <w:r>
        <w:rPr>
          <w:rFonts w:hint="default" w:ascii="Times New Roman" w:hAnsi="Times New Roman" w:eastAsia="宋体" w:cs="Times New Roman"/>
        </w:rPr>
        <w:t>感官指标检验</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_Toc31732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2C62BF4">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_Toc16437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8.2 </w:t>
      </w:r>
      <w:r>
        <w:rPr>
          <w:rFonts w:hint="default" w:ascii="Times New Roman" w:hAnsi="Times New Roman" w:eastAsia="宋体" w:cs="Times New Roman"/>
        </w:rPr>
        <w:t>理化指标检验</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_Toc16437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737DBDB">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_Toc25908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8.3 </w:t>
      </w:r>
      <w:r>
        <w:rPr>
          <w:rFonts w:hint="default" w:ascii="Times New Roman" w:hAnsi="Times New Roman" w:eastAsia="宋体" w:cs="Times New Roman"/>
        </w:rPr>
        <w:t>微生物检验</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_Toc25908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2909F53">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_Toc32546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8.4 </w:t>
      </w:r>
      <w:r>
        <w:rPr>
          <w:rFonts w:hint="default" w:ascii="Times New Roman" w:hAnsi="Times New Roman" w:eastAsia="宋体" w:cs="Times New Roman"/>
        </w:rPr>
        <w:t>污染物检验</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_Toc32546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59B4DC4B">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_Toc15367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8.5 </w:t>
      </w:r>
      <w:r>
        <w:rPr>
          <w:rFonts w:hint="default" w:ascii="Times New Roman" w:hAnsi="Times New Roman" w:eastAsia="宋体" w:cs="Times New Roman"/>
        </w:rPr>
        <w:t>农药残留检验</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_Toc15367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80B3586">
      <w:pPr>
        <w:pStyle w:val="22"/>
        <w:keepNext w:val="0"/>
        <w:keepLines w:val="0"/>
        <w:pageBreakBefore w:val="0"/>
        <w:widowControl w:val="0"/>
        <w:tabs>
          <w:tab w:val="right" w:leader="dot" w:pos="9070"/>
        </w:tabs>
        <w:kinsoku/>
        <w:wordWrap/>
        <w:overflowPunct/>
        <w:topLinePunct w:val="0"/>
        <w:autoSpaceDE/>
        <w:autoSpaceDN/>
        <w:bidi w:val="0"/>
        <w:adjustRightInd w:val="0"/>
        <w:snapToGrid/>
        <w:spacing w:line="300" w:lineRule="exact"/>
        <w:ind w:left="0" w:leftChars="0" w:firstLine="210" w:firstLineChars="100"/>
        <w:jc w:val="both"/>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_Toc13562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8.6 </w:t>
      </w:r>
      <w:r>
        <w:rPr>
          <w:rFonts w:hint="default" w:ascii="Times New Roman" w:hAnsi="Times New Roman" w:eastAsia="宋体" w:cs="Times New Roman"/>
        </w:rPr>
        <w:t>生产加工过程的卫生要求检查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_Toc13562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5DBF0CEB">
      <w:pPr>
        <w:pStyle w:val="19"/>
        <w:keepNext w:val="0"/>
        <w:keepLines w:val="0"/>
        <w:pageBreakBefore w:val="0"/>
        <w:widowControl w:val="0"/>
        <w:tabs>
          <w:tab w:val="right" w:leader="dot" w:pos="9070"/>
          <w:tab w:val="clear" w:pos="567"/>
          <w:tab w:val="clear" w:pos="9060"/>
        </w:tabs>
        <w:kinsoku/>
        <w:wordWrap/>
        <w:overflowPunct/>
        <w:topLinePunct w:val="0"/>
        <w:autoSpaceDE/>
        <w:autoSpaceDN/>
        <w:bidi w:val="0"/>
        <w:adjustRightInd w:val="0"/>
        <w:snapToGrid/>
        <w:ind w:left="0" w:leftChars="0"/>
        <w:jc w:val="both"/>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_Toc3121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i w:val="0"/>
          <w:iCs w:val="0"/>
          <w:szCs w:val="21"/>
        </w:rPr>
        <w:t xml:space="preserve">9 </w:t>
      </w:r>
      <w:r>
        <w:rPr>
          <w:rFonts w:hint="default" w:ascii="Times New Roman" w:hAnsi="Times New Roman" w:eastAsia="宋体" w:cs="Times New Roman"/>
        </w:rPr>
        <w:t>记录</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_Toc3121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01EFCB2">
      <w:pPr>
        <w:pStyle w:val="49"/>
        <w:spacing w:line="400" w:lineRule="exact"/>
        <w:ind w:firstLine="0" w:firstLineChars="0"/>
        <w:rPr>
          <w:rFonts w:ascii="Times New Roman" w:hAnsi="Times New Roman" w:eastAsia="宋体" w:cs="Times New Roman"/>
          <w:kern w:val="2"/>
          <w:sz w:val="21"/>
          <w:szCs w:val="21"/>
          <w:lang w:val="en-US" w:eastAsia="zh-CN" w:bidi="ar-SA"/>
        </w:rPr>
      </w:pPr>
      <w:r>
        <w:rPr>
          <w:rFonts w:cs="Times New Roman"/>
        </w:rPr>
        <w:fldChar w:fldCharType="end"/>
      </w:r>
      <w:r>
        <w:rPr>
          <w:rFonts w:cs="Times New Roman"/>
        </w:rPr>
        <w:fldChar w:fldCharType="begin"/>
      </w:r>
      <w:r>
        <w:rPr>
          <w:rFonts w:cs="Times New Roman"/>
        </w:rPr>
        <w:instrText xml:space="preserve"> TOC \h \z \c "表" </w:instrText>
      </w:r>
      <w:r>
        <w:rPr>
          <w:rFonts w:cs="Times New Roman"/>
        </w:rPr>
        <w:fldChar w:fldCharType="separate"/>
      </w:r>
    </w:p>
    <w:p w14:paraId="1D4E29BF">
      <w:pPr>
        <w:pStyle w:val="21"/>
        <w:keepNext w:val="0"/>
        <w:keepLines w:val="0"/>
        <w:pageBreakBefore w:val="0"/>
        <w:widowControl w:val="0"/>
        <w:tabs>
          <w:tab w:val="right" w:leader="dot" w:pos="9070"/>
        </w:tabs>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_Toc27177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1"/>
        </w:rPr>
        <w:t xml:space="preserve">表 </w:t>
      </w:r>
      <w:r>
        <w:rPr>
          <w:rFonts w:hint="default" w:ascii="Times New Roman" w:hAnsi="Times New Roman" w:eastAsia="宋体" w:cs="Times New Roman"/>
        </w:rPr>
        <w:t xml:space="preserve">1 </w:t>
      </w:r>
      <w:r>
        <w:rPr>
          <w:rFonts w:hint="default" w:ascii="Times New Roman" w:hAnsi="Times New Roman" w:eastAsia="宋体" w:cs="Times New Roman"/>
          <w:szCs w:val="21"/>
        </w:rPr>
        <w:t>感官要求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_Toc27177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DDADDF4">
      <w:pPr>
        <w:pStyle w:val="21"/>
        <w:keepNext w:val="0"/>
        <w:keepLines w:val="0"/>
        <w:pageBreakBefore w:val="0"/>
        <w:widowControl w:val="0"/>
        <w:tabs>
          <w:tab w:val="right" w:leader="dot" w:pos="9070"/>
        </w:tabs>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_Toc1027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1"/>
        </w:rPr>
        <w:t xml:space="preserve">表 </w:t>
      </w:r>
      <w:r>
        <w:rPr>
          <w:rFonts w:hint="default" w:ascii="Times New Roman" w:hAnsi="Times New Roman" w:eastAsia="宋体" w:cs="Times New Roman"/>
        </w:rPr>
        <w:t xml:space="preserve">2 </w:t>
      </w:r>
      <w:r>
        <w:rPr>
          <w:rFonts w:hint="default" w:ascii="Times New Roman" w:hAnsi="Times New Roman" w:eastAsia="宋体" w:cs="Times New Roman"/>
          <w:szCs w:val="21"/>
        </w:rPr>
        <w:t>理化指标</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_Toc1027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4D2AFDE">
      <w:pPr>
        <w:pStyle w:val="21"/>
        <w:keepNext w:val="0"/>
        <w:keepLines w:val="0"/>
        <w:pageBreakBefore w:val="0"/>
        <w:widowControl w:val="0"/>
        <w:tabs>
          <w:tab w:val="right" w:leader="dot" w:pos="9070"/>
        </w:tabs>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_Toc16879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1"/>
        </w:rPr>
        <w:t xml:space="preserve">表 </w:t>
      </w:r>
      <w:r>
        <w:rPr>
          <w:rFonts w:hint="default" w:ascii="Times New Roman" w:hAnsi="Times New Roman" w:eastAsia="宋体" w:cs="Times New Roman"/>
        </w:rPr>
        <w:t xml:space="preserve">3 </w:t>
      </w:r>
      <w:r>
        <w:rPr>
          <w:rFonts w:hint="default" w:ascii="Times New Roman" w:hAnsi="Times New Roman" w:eastAsia="宋体" w:cs="Times New Roman"/>
          <w:szCs w:val="21"/>
        </w:rPr>
        <w:t>微生物限量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_Toc16879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472B8F72">
      <w:pPr>
        <w:pStyle w:val="49"/>
        <w:spacing w:line="400" w:lineRule="exact"/>
        <w:ind w:firstLine="0" w:firstLineChars="0"/>
        <w:rPr>
          <w:rFonts w:cs="Times New Roman"/>
          <w:bCs/>
        </w:rPr>
        <w:sectPr>
          <w:headerReference r:id="rId15" w:type="first"/>
          <w:headerReference r:id="rId14" w:type="even"/>
          <w:footerReference r:id="rId16" w:type="even"/>
          <w:pgSz w:w="11906" w:h="16838"/>
          <w:pgMar w:top="1418" w:right="1418" w:bottom="1134" w:left="1418" w:header="1417" w:footer="1134" w:gutter="0"/>
          <w:pgNumType w:fmt="upperRoman"/>
          <w:cols w:space="425" w:num="1"/>
          <w:titlePg/>
          <w:docGrid w:type="lines" w:linePitch="312" w:charSpace="0"/>
        </w:sectPr>
      </w:pPr>
      <w:r>
        <w:rPr>
          <w:rFonts w:cs="Times New Roman"/>
        </w:rPr>
        <w:fldChar w:fldCharType="end"/>
      </w:r>
    </w:p>
    <w:p w14:paraId="6D2AE865">
      <w:pPr>
        <w:pStyle w:val="61"/>
        <w:spacing w:after="600"/>
        <w:rPr>
          <w:rFonts w:hint="eastAsia" w:ascii="等线 Light" w:hAnsi="等线 Light" w:cs="Times New Roman"/>
          <w:bCs/>
        </w:rPr>
      </w:pPr>
      <w:bookmarkStart w:id="14" w:name="_Toc16211"/>
      <w:bookmarkStart w:id="15" w:name="_Toc2945"/>
      <w:r>
        <w:rPr>
          <w:rFonts w:hint="eastAsia" w:ascii="等线 Light" w:hAnsi="等线 Light" w:cs="Times New Roman"/>
          <w:bCs/>
        </w:rPr>
        <w:t>前  言</w:t>
      </w:r>
      <w:bookmarkEnd w:id="13"/>
      <w:bookmarkEnd w:id="14"/>
      <w:bookmarkEnd w:id="15"/>
    </w:p>
    <w:p w14:paraId="22225EAF">
      <w:pPr>
        <w:pStyle w:val="49"/>
      </w:pPr>
      <w:bookmarkStart w:id="16" w:name="OLE_LINK1"/>
      <w:bookmarkStart w:id="17" w:name="_Hlk70253297"/>
      <w:r>
        <w:rPr>
          <w:rFonts w:hint="eastAsia"/>
        </w:rPr>
        <w:t>本文件按照GB/T 1.1—2020《标准化工作导则  第1部分：标准化文件的结构和起草规则》给出的规则起草。</w:t>
      </w:r>
    </w:p>
    <w:p w14:paraId="1B9719F2">
      <w:pPr>
        <w:pStyle w:val="49"/>
      </w:pPr>
      <w:r>
        <w:rPr>
          <w:rFonts w:hint="eastAsia"/>
        </w:rPr>
        <w:t>请注意本文件的某些内容可能涉及专利。本文件的发布机构不承担识别专利的责任。</w:t>
      </w:r>
    </w:p>
    <w:p w14:paraId="0ECB1F80">
      <w:pPr>
        <w:pStyle w:val="49"/>
      </w:pPr>
      <w:r>
        <w:rPr>
          <w:rFonts w:hint="eastAsia"/>
        </w:rPr>
        <w:t>本文件由提出并归口。</w:t>
      </w:r>
    </w:p>
    <w:p w14:paraId="21842906">
      <w:pPr>
        <w:pStyle w:val="49"/>
      </w:pPr>
      <w:r>
        <w:rPr>
          <w:rFonts w:hint="eastAsia"/>
        </w:rPr>
        <w:t>本文件起草单位：中国包装和食品机械有限公司、浙江大学、黑龙江中瑞绿色果蔬实业有限公司、XXX。</w:t>
      </w:r>
    </w:p>
    <w:p w14:paraId="66269582">
      <w:pPr>
        <w:pStyle w:val="49"/>
      </w:pPr>
      <w:r>
        <w:rPr>
          <w:rFonts w:hint="eastAsia"/>
        </w:rPr>
        <w:t xml:space="preserve">本文件主要起草人： </w:t>
      </w:r>
    </w:p>
    <w:p w14:paraId="71427D42">
      <w:pPr>
        <w:pStyle w:val="49"/>
      </w:pPr>
      <w:r>
        <w:rPr>
          <w:rFonts w:hint="eastAsia"/>
        </w:rPr>
        <w:t>本文件为首次发布。</w:t>
      </w:r>
    </w:p>
    <w:bookmarkEnd w:id="16"/>
    <w:bookmarkEnd w:id="17"/>
    <w:p w14:paraId="1ECC2F6F">
      <w:pPr>
        <w:pStyle w:val="49"/>
        <w:sectPr>
          <w:pgSz w:w="11906" w:h="16838"/>
          <w:pgMar w:top="1418" w:right="1418" w:bottom="1134" w:left="1418" w:header="1417" w:footer="1134" w:gutter="0"/>
          <w:pgNumType w:fmt="upperRoman"/>
          <w:cols w:space="425" w:num="1"/>
          <w:titlePg/>
          <w:docGrid w:type="lines" w:linePitch="312" w:charSpace="0"/>
        </w:sectPr>
      </w:pPr>
    </w:p>
    <w:p w14:paraId="1A4482E1">
      <w:pPr>
        <w:pStyle w:val="61"/>
        <w:spacing w:after="600"/>
        <w:rPr>
          <w:rFonts w:hint="eastAsia" w:ascii="等线 Light" w:hAnsi="等线 Light" w:cs="Times New Roman"/>
          <w:bCs/>
        </w:rPr>
      </w:pPr>
      <w:bookmarkStart w:id="18" w:name="_Toc15957"/>
      <w:bookmarkStart w:id="19" w:name="_Toc28978"/>
      <w:bookmarkStart w:id="20" w:name="_Toc195806934"/>
      <w:r>
        <w:rPr>
          <w:rFonts w:hint="eastAsia" w:ascii="等线 Light" w:hAnsi="等线 Light" w:cs="Times New Roman"/>
          <w:bCs/>
          <w:lang w:bidi="ar"/>
        </w:rPr>
        <w:t>引  言</w:t>
      </w:r>
      <w:bookmarkEnd w:id="18"/>
      <w:bookmarkEnd w:id="19"/>
    </w:p>
    <w:p w14:paraId="515DA523">
      <w:pPr>
        <w:widowControl/>
        <w:autoSpaceDE w:val="0"/>
        <w:autoSpaceDN w:val="0"/>
        <w:spacing w:line="360" w:lineRule="exact"/>
        <w:ind w:firstLine="420" w:firstLineChars="200"/>
        <w:rPr>
          <w:rFonts w:ascii="Times New Roman" w:hAnsi="Times New Roman" w:cs="Times New Roman"/>
          <w:kern w:val="0"/>
        </w:rPr>
      </w:pPr>
      <w:r>
        <w:rPr>
          <w:rFonts w:hint="eastAsia" w:ascii="宋体" w:hAnsi="宋体" w:cs="宋体"/>
          <w:kern w:val="0"/>
          <w:lang w:bidi="ar"/>
        </w:rPr>
        <w:t>近年来，鲜食玉米凭借清甜软糯的口感、丰富的膳食纤维与维生素含量，成为消费者餐桌上的热门选择。随着鲜食玉米加工行业竞争加剧，人力成本攀升，传统粗放式加工模式已经难以满足鲜食玉米加工产业规模化、标准化需求，速冻鲜食玉米加工技术不仅能最大程度保留玉米的营养成分与天然风味，还可以通过精准工艺延长产品保质期，降低人工操作导致的污染风险，有效提升企业生产效率与产品附加值，在鲜食玉米加工企业、中央厨房及预制菜产业中拥有广阔的应用前景。</w:t>
      </w:r>
    </w:p>
    <w:p w14:paraId="109520C9">
      <w:pPr>
        <w:widowControl/>
        <w:autoSpaceDE w:val="0"/>
        <w:autoSpaceDN w:val="0"/>
        <w:spacing w:line="360" w:lineRule="exact"/>
        <w:ind w:firstLine="420" w:firstLineChars="200"/>
        <w:rPr>
          <w:rFonts w:ascii="Times New Roman" w:hAnsi="Times New Roman" w:cs="Times New Roman"/>
          <w:kern w:val="0"/>
        </w:rPr>
      </w:pPr>
      <w:r>
        <w:rPr>
          <w:rFonts w:hint="eastAsia" w:ascii="宋体" w:hAnsi="宋体" w:cs="宋体"/>
          <w:kern w:val="0"/>
          <w:lang w:bidi="ar"/>
        </w:rPr>
        <w:t>本文件紧密围绕市场对速冻鲜食玉米加工技术的迫切需求，针对该行业当前存在的原料加工工艺不统一、关键加工参数量化标准缺乏、质量检测方法不完善等问题，为速冻鲜食玉米的生产工艺设计、质量检测与产品验收提供技术依据，为速冻鲜食玉米的推广应用提供标准规范。可以被加工企业、质检机构和监督单位广泛采用，提高企业技术水平，对规范企业行为、维护</w:t>
      </w:r>
      <w:r>
        <w:rPr>
          <w:rFonts w:hint="eastAsia" w:ascii="Times New Roman" w:hAnsi="Times New Roman"/>
          <w:kern w:val="0"/>
          <w:szCs w:val="20"/>
        </w:rPr>
        <w:t>营商环境</w:t>
      </w:r>
      <w:r>
        <w:rPr>
          <w:rFonts w:hint="eastAsia" w:ascii="宋体" w:hAnsi="宋体" w:cs="宋体"/>
          <w:kern w:val="0"/>
          <w:lang w:bidi="ar"/>
        </w:rPr>
        <w:t>和保障消费者利益等具有重要意义。</w:t>
      </w:r>
    </w:p>
    <w:p w14:paraId="4417762B">
      <w:pPr>
        <w:widowControl/>
        <w:autoSpaceDE w:val="0"/>
        <w:autoSpaceDN w:val="0"/>
        <w:spacing w:line="360" w:lineRule="exact"/>
        <w:rPr>
          <w:rFonts w:ascii="Times New Roman" w:hAnsi="Times New Roman" w:cs="Times New Roman"/>
          <w:kern w:val="0"/>
        </w:rPr>
      </w:pPr>
    </w:p>
    <w:p w14:paraId="531D1D79">
      <w:pPr>
        <w:pStyle w:val="52"/>
        <w:rPr>
          <w:rFonts w:hint="eastAsia" w:ascii="黑体" w:hAnsi="黑体"/>
        </w:rPr>
      </w:pPr>
    </w:p>
    <w:p w14:paraId="1F007A3C">
      <w:pPr>
        <w:pStyle w:val="49"/>
        <w:rPr>
          <w:rFonts w:hint="eastAsia" w:ascii="黑体" w:hAnsi="黑体"/>
        </w:rPr>
      </w:pPr>
    </w:p>
    <w:p w14:paraId="705E0A03">
      <w:pPr>
        <w:pStyle w:val="49"/>
        <w:rPr>
          <w:rFonts w:hint="eastAsia" w:ascii="黑体" w:hAnsi="黑体"/>
        </w:rPr>
        <w:sectPr>
          <w:headerReference r:id="rId17" w:type="first"/>
          <w:footerReference r:id="rId18" w:type="first"/>
          <w:pgSz w:w="11906" w:h="16838"/>
          <w:pgMar w:top="1418" w:right="1418" w:bottom="1134" w:left="1418" w:header="1417" w:footer="1134" w:gutter="0"/>
          <w:pgNumType w:start="1"/>
          <w:cols w:space="425" w:num="1"/>
          <w:titlePg/>
          <w:docGrid w:type="lines" w:linePitch="312" w:charSpace="0"/>
        </w:sectPr>
      </w:pPr>
    </w:p>
    <w:p w14:paraId="62B31A76">
      <w:pPr>
        <w:pStyle w:val="61"/>
        <w:spacing w:before="849" w:after="680"/>
        <w:rPr>
          <w:rFonts w:cs="Times New Roman"/>
          <w:szCs w:val="20"/>
        </w:rPr>
      </w:pPr>
      <w:bookmarkStart w:id="21" w:name="_Toc14510"/>
      <w:bookmarkStart w:id="22" w:name="_Toc30722"/>
      <w:bookmarkStart w:id="23" w:name="_Toc23359"/>
      <w:r>
        <w:rPr>
          <w:rFonts w:hint="eastAsia" w:cs="Times New Roman"/>
          <w:szCs w:val="20"/>
        </w:rPr>
        <w:t>食品机械  速冻鲜食玉米加工技术规范</w:t>
      </w:r>
      <w:bookmarkEnd w:id="20"/>
      <w:bookmarkEnd w:id="21"/>
      <w:bookmarkEnd w:id="22"/>
      <w:bookmarkEnd w:id="23"/>
    </w:p>
    <w:p w14:paraId="0C0B06FF">
      <w:pPr>
        <w:pStyle w:val="46"/>
      </w:pPr>
      <w:bookmarkStart w:id="24" w:name="_Toc39844925"/>
      <w:bookmarkStart w:id="25" w:name="_Toc24215"/>
      <w:bookmarkStart w:id="26" w:name="_Toc21262"/>
      <w:r>
        <w:rPr>
          <w:rFonts w:hint="eastAsia"/>
        </w:rPr>
        <w:t>范围</w:t>
      </w:r>
      <w:bookmarkEnd w:id="24"/>
      <w:bookmarkEnd w:id="25"/>
      <w:bookmarkEnd w:id="26"/>
    </w:p>
    <w:p w14:paraId="1E182E38">
      <w:pPr>
        <w:pStyle w:val="49"/>
        <w:rPr>
          <w:rFonts w:hint="eastAsia" w:ascii="宋体" w:hAnsi="宋体"/>
        </w:rPr>
      </w:pPr>
      <w:r>
        <w:rPr>
          <w:rFonts w:hint="eastAsia" w:ascii="宋体" w:hAnsi="宋体"/>
        </w:rPr>
        <w:t>本文件规定了速冻鲜食玉米的基本要求、安全技术要求、加工技术要求、产品要求，</w:t>
      </w:r>
      <w:r>
        <w:rPr>
          <w:rFonts w:hint="eastAsia"/>
        </w:rPr>
        <w:t>描述了相应的检验方法</w:t>
      </w:r>
      <w:r>
        <w:rPr>
          <w:rFonts w:hint="eastAsia" w:ascii="宋体" w:hAnsi="宋体"/>
        </w:rPr>
        <w:t>，</w:t>
      </w:r>
      <w:r>
        <w:rPr>
          <w:rFonts w:hint="eastAsia"/>
        </w:rPr>
        <w:t>规定了</w:t>
      </w:r>
      <w:r>
        <w:rPr>
          <w:rFonts w:hint="eastAsia" w:ascii="宋体" w:hAnsi="宋体"/>
        </w:rPr>
        <w:t>记录要求。</w:t>
      </w:r>
    </w:p>
    <w:p w14:paraId="20B1DC0F">
      <w:pPr>
        <w:pStyle w:val="49"/>
        <w:rPr>
          <w:rFonts w:hint="eastAsia" w:ascii="宋体" w:hAnsi="宋体"/>
        </w:rPr>
      </w:pPr>
      <w:r>
        <w:rPr>
          <w:rFonts w:hint="eastAsia" w:ascii="宋体" w:hAnsi="宋体"/>
        </w:rPr>
        <w:t>本文件适用于速冻鲜食玉米的加工过程。</w:t>
      </w:r>
    </w:p>
    <w:p w14:paraId="6253EA63">
      <w:pPr>
        <w:pStyle w:val="46"/>
      </w:pPr>
      <w:bookmarkStart w:id="27" w:name="_Toc27373"/>
      <w:bookmarkStart w:id="28" w:name="_Toc1461"/>
      <w:bookmarkStart w:id="29" w:name="_Toc39844926"/>
      <w:r>
        <w:rPr>
          <w:rFonts w:hint="eastAsia"/>
        </w:rPr>
        <w:t>规范性引用文件</w:t>
      </w:r>
      <w:bookmarkEnd w:id="27"/>
      <w:bookmarkEnd w:id="28"/>
      <w:bookmarkEnd w:id="29"/>
    </w:p>
    <w:p w14:paraId="4853C7FC">
      <w:pPr>
        <w:pStyle w:val="49"/>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12BD73A">
      <w:pPr>
        <w:pStyle w:val="49"/>
        <w:tabs>
          <w:tab w:val="center" w:pos="4201"/>
          <w:tab w:val="right" w:leader="dot" w:pos="9298"/>
        </w:tabs>
        <w:rPr>
          <w:rFonts w:hint="eastAsia" w:ascii="宋体" w:hAnsi="宋体"/>
        </w:rPr>
      </w:pPr>
      <w:r>
        <w:rPr>
          <w:rFonts w:hint="eastAsia" w:ascii="宋体" w:hAnsi="宋体"/>
        </w:rPr>
        <w:t>GB 1353  玉米</w:t>
      </w:r>
    </w:p>
    <w:p w14:paraId="19ECAD41">
      <w:pPr>
        <w:pStyle w:val="49"/>
        <w:tabs>
          <w:tab w:val="center" w:pos="4201"/>
          <w:tab w:val="right" w:leader="dot" w:pos="9298"/>
        </w:tabs>
        <w:rPr>
          <w:rFonts w:hint="eastAsia" w:ascii="宋体" w:hAnsi="宋体"/>
        </w:rPr>
      </w:pPr>
      <w:r>
        <w:rPr>
          <w:rFonts w:ascii="宋体" w:hAnsi="宋体"/>
        </w:rPr>
        <w:t xml:space="preserve">GB 2762 </w:t>
      </w:r>
      <w:r>
        <w:rPr>
          <w:rFonts w:hint="eastAsia" w:ascii="宋体" w:hAnsi="宋体"/>
        </w:rPr>
        <w:t xml:space="preserve"> </w:t>
      </w:r>
      <w:r>
        <w:rPr>
          <w:rFonts w:ascii="宋体" w:hAnsi="宋体"/>
        </w:rPr>
        <w:t>食品安全国家标准</w:t>
      </w:r>
      <w:r>
        <w:rPr>
          <w:rFonts w:hint="eastAsia" w:ascii="宋体" w:hAnsi="宋体"/>
        </w:rPr>
        <w:t xml:space="preserve"> </w:t>
      </w:r>
      <w:r>
        <w:rPr>
          <w:rFonts w:ascii="宋体" w:hAnsi="宋体"/>
        </w:rPr>
        <w:t xml:space="preserve"> 食品中污染物限量</w:t>
      </w:r>
    </w:p>
    <w:p w14:paraId="27BF60A5">
      <w:pPr>
        <w:pStyle w:val="49"/>
        <w:tabs>
          <w:tab w:val="center" w:pos="4201"/>
          <w:tab w:val="right" w:leader="dot" w:pos="9298"/>
        </w:tabs>
        <w:rPr>
          <w:rFonts w:hint="eastAsia" w:ascii="宋体" w:hAnsi="宋体"/>
        </w:rPr>
      </w:pPr>
      <w:r>
        <w:rPr>
          <w:rFonts w:hint="eastAsia" w:ascii="宋体" w:hAnsi="宋体"/>
        </w:rPr>
        <w:t>GB 2763  食品中农药最大残留限量</w:t>
      </w:r>
    </w:p>
    <w:p w14:paraId="73EB5F19">
      <w:pPr>
        <w:pStyle w:val="49"/>
        <w:tabs>
          <w:tab w:val="center" w:pos="4201"/>
          <w:tab w:val="right" w:leader="dot" w:pos="9298"/>
        </w:tabs>
        <w:rPr>
          <w:rFonts w:hint="eastAsia" w:ascii="宋体" w:hAnsi="宋体"/>
        </w:rPr>
      </w:pPr>
      <w:r>
        <w:rPr>
          <w:rFonts w:hint="eastAsia" w:ascii="宋体" w:hAnsi="宋体"/>
        </w:rPr>
        <w:t>GB 4789.2  食品安全国家标准  食品微生物学检验 菌落总数测定</w:t>
      </w:r>
    </w:p>
    <w:p w14:paraId="27AC3506">
      <w:pPr>
        <w:pStyle w:val="49"/>
        <w:tabs>
          <w:tab w:val="center" w:pos="4201"/>
          <w:tab w:val="right" w:leader="dot" w:pos="9298"/>
        </w:tabs>
        <w:rPr>
          <w:rFonts w:hint="eastAsia" w:ascii="宋体" w:hAnsi="宋体"/>
        </w:rPr>
      </w:pPr>
      <w:r>
        <w:rPr>
          <w:rFonts w:hint="eastAsia" w:ascii="宋体" w:hAnsi="宋体"/>
        </w:rPr>
        <w:t>GB 4789.3  食品安全国家标准  食品微生物学检验 大肠菌群计数</w:t>
      </w:r>
    </w:p>
    <w:p w14:paraId="147AF33C">
      <w:pPr>
        <w:pStyle w:val="49"/>
        <w:tabs>
          <w:tab w:val="center" w:pos="4201"/>
          <w:tab w:val="right" w:leader="dot" w:pos="9298"/>
        </w:tabs>
        <w:rPr>
          <w:rFonts w:hint="eastAsia" w:ascii="宋体" w:hAnsi="宋体"/>
        </w:rPr>
      </w:pPr>
      <w:r>
        <w:rPr>
          <w:rFonts w:hint="eastAsia" w:ascii="宋体" w:hAnsi="宋体"/>
        </w:rPr>
        <w:t>GB 4789.4  食品安全国家标准  食品微生物学检验 沙门氏菌检验</w:t>
      </w:r>
    </w:p>
    <w:p w14:paraId="4BD20649">
      <w:pPr>
        <w:pStyle w:val="49"/>
        <w:tabs>
          <w:tab w:val="center" w:pos="4201"/>
          <w:tab w:val="right" w:leader="dot" w:pos="9298"/>
        </w:tabs>
        <w:rPr>
          <w:rFonts w:hint="eastAsia" w:ascii="宋体" w:hAnsi="宋体"/>
        </w:rPr>
      </w:pPr>
      <w:r>
        <w:rPr>
          <w:rFonts w:hint="eastAsia" w:ascii="宋体" w:hAnsi="宋体"/>
        </w:rPr>
        <w:t>GB 4789.10  食品安全国家标准  食品微生物学检验 金黄色葡萄球菌检验</w:t>
      </w:r>
    </w:p>
    <w:p w14:paraId="5347EEEB">
      <w:pPr>
        <w:pStyle w:val="49"/>
        <w:tabs>
          <w:tab w:val="center" w:pos="4201"/>
          <w:tab w:val="right" w:leader="dot" w:pos="9298"/>
        </w:tabs>
        <w:rPr>
          <w:rFonts w:hint="eastAsia" w:ascii="宋体" w:hAnsi="宋体"/>
        </w:rPr>
      </w:pPr>
      <w:r>
        <w:rPr>
          <w:rFonts w:hint="eastAsia" w:ascii="宋体" w:hAnsi="宋体"/>
        </w:rPr>
        <w:t>GB 5009.3  食品安全国家标准  食品中水分的测定</w:t>
      </w:r>
    </w:p>
    <w:p w14:paraId="09A58364">
      <w:pPr>
        <w:pStyle w:val="49"/>
        <w:tabs>
          <w:tab w:val="center" w:pos="4201"/>
          <w:tab w:val="right" w:leader="dot" w:pos="9298"/>
        </w:tabs>
        <w:rPr>
          <w:rFonts w:hint="eastAsia" w:ascii="宋体" w:hAnsi="宋体"/>
        </w:rPr>
      </w:pPr>
      <w:r>
        <w:rPr>
          <w:rFonts w:hint="eastAsia" w:ascii="宋体" w:hAnsi="宋体"/>
        </w:rPr>
        <w:t>GB 5009.5  食品安全国家标准  食品中蛋白质的测定</w:t>
      </w:r>
    </w:p>
    <w:p w14:paraId="2DAE5AE3">
      <w:pPr>
        <w:pStyle w:val="49"/>
        <w:tabs>
          <w:tab w:val="center" w:pos="4201"/>
          <w:tab w:val="right" w:leader="dot" w:pos="9298"/>
        </w:tabs>
        <w:rPr>
          <w:rFonts w:hint="eastAsia" w:ascii="宋体" w:hAnsi="宋体"/>
        </w:rPr>
      </w:pPr>
      <w:r>
        <w:rPr>
          <w:rFonts w:hint="eastAsia" w:ascii="宋体" w:hAnsi="宋体"/>
        </w:rPr>
        <w:t>GB 5009.88  食品安全国家标准  食品中膳食纤维的测定</w:t>
      </w:r>
    </w:p>
    <w:p w14:paraId="14E17BDA">
      <w:pPr>
        <w:pStyle w:val="49"/>
        <w:tabs>
          <w:tab w:val="center" w:pos="4201"/>
          <w:tab w:val="right" w:leader="dot" w:pos="9298"/>
        </w:tabs>
        <w:rPr>
          <w:rFonts w:hint="eastAsia" w:ascii="宋体" w:hAnsi="宋体"/>
        </w:rPr>
      </w:pPr>
      <w:r>
        <w:rPr>
          <w:rFonts w:hint="eastAsia" w:ascii="宋体" w:hAnsi="宋体"/>
        </w:rPr>
        <w:t>GB 5083 生产设备安全卫生设计总则</w:t>
      </w:r>
    </w:p>
    <w:p w14:paraId="29591551">
      <w:pPr>
        <w:pStyle w:val="49"/>
        <w:tabs>
          <w:tab w:val="center" w:pos="4201"/>
          <w:tab w:val="right" w:leader="dot" w:pos="9298"/>
        </w:tabs>
        <w:rPr>
          <w:rFonts w:hint="eastAsia" w:ascii="宋体" w:hAnsi="宋体"/>
        </w:rPr>
      </w:pPr>
      <w:r>
        <w:rPr>
          <w:rFonts w:hint="eastAsia" w:ascii="宋体" w:hAnsi="宋体"/>
        </w:rPr>
        <w:t>GB/T 5492  粮油检验  粮食、油料的色泽、气味、口味鉴定</w:t>
      </w:r>
    </w:p>
    <w:p w14:paraId="599383F7">
      <w:pPr>
        <w:pStyle w:val="49"/>
        <w:tabs>
          <w:tab w:val="center" w:pos="4201"/>
          <w:tab w:val="right" w:leader="dot" w:pos="9298"/>
        </w:tabs>
        <w:rPr>
          <w:rFonts w:hint="eastAsia" w:ascii="宋体" w:hAnsi="宋体"/>
        </w:rPr>
      </w:pPr>
      <w:r>
        <w:rPr>
          <w:rFonts w:hint="eastAsia" w:ascii="宋体" w:hAnsi="宋体"/>
        </w:rPr>
        <w:t>GB/T 5494  粮油检验  粮食、油料的杂质、不完善粒检验</w:t>
      </w:r>
    </w:p>
    <w:p w14:paraId="0B3A75C6">
      <w:pPr>
        <w:pStyle w:val="49"/>
        <w:tabs>
          <w:tab w:val="center" w:pos="4201"/>
          <w:tab w:val="right" w:leader="dot" w:pos="9298"/>
        </w:tabs>
        <w:rPr>
          <w:rFonts w:hint="eastAsia" w:ascii="宋体" w:hAnsi="宋体"/>
        </w:rPr>
      </w:pPr>
      <w:r>
        <w:rPr>
          <w:rFonts w:hint="eastAsia" w:ascii="宋体" w:hAnsi="宋体"/>
        </w:rPr>
        <w:t>GB 5749  生活饮用水卫生标准</w:t>
      </w:r>
    </w:p>
    <w:p w14:paraId="5CC4D4A4">
      <w:pPr>
        <w:pStyle w:val="49"/>
        <w:tabs>
          <w:tab w:val="center" w:pos="4201"/>
          <w:tab w:val="right" w:leader="dot" w:pos="9298"/>
        </w:tabs>
        <w:rPr>
          <w:rFonts w:hint="eastAsia" w:ascii="宋体" w:hAnsi="宋体"/>
        </w:rPr>
      </w:pPr>
      <w:r>
        <w:rPr>
          <w:rFonts w:hint="eastAsia" w:ascii="宋体" w:hAnsi="宋体"/>
        </w:rPr>
        <w:t>GB 7648  水稻、玉米、谷子籽粒直链淀粉测定法</w:t>
      </w:r>
    </w:p>
    <w:p w14:paraId="061E7BC3">
      <w:pPr>
        <w:pStyle w:val="49"/>
        <w:tabs>
          <w:tab w:val="center" w:pos="4201"/>
          <w:tab w:val="right" w:leader="dot" w:pos="9298"/>
        </w:tabs>
        <w:rPr>
          <w:rFonts w:hint="eastAsia" w:ascii="宋体" w:hAnsi="宋体"/>
        </w:rPr>
      </w:pPr>
      <w:r>
        <w:rPr>
          <w:rFonts w:ascii="宋体" w:hAnsi="宋体"/>
        </w:rPr>
        <w:t>GB 14881</w:t>
      </w:r>
      <w:r>
        <w:rPr>
          <w:rFonts w:hint="eastAsia" w:ascii="宋体" w:hAnsi="宋体"/>
        </w:rPr>
        <w:t xml:space="preserve"> </w:t>
      </w:r>
      <w:r>
        <w:rPr>
          <w:rFonts w:ascii="宋体" w:hAnsi="宋体"/>
        </w:rPr>
        <w:t xml:space="preserve"> 食品安全国家标准 </w:t>
      </w:r>
      <w:r>
        <w:rPr>
          <w:rFonts w:hint="eastAsia" w:ascii="宋体" w:hAnsi="宋体"/>
        </w:rPr>
        <w:t xml:space="preserve"> </w:t>
      </w:r>
      <w:r>
        <w:rPr>
          <w:rFonts w:ascii="宋体" w:hAnsi="宋体"/>
        </w:rPr>
        <w:t>食品生产通用卫生规范</w:t>
      </w:r>
    </w:p>
    <w:p w14:paraId="5A7E95B2">
      <w:pPr>
        <w:pStyle w:val="49"/>
        <w:rPr>
          <w:rFonts w:hint="eastAsia" w:ascii="宋体" w:hAnsi="宋体"/>
          <w:lang w:bidi="ar"/>
        </w:rPr>
      </w:pPr>
      <w:r>
        <w:rPr>
          <w:rFonts w:ascii="宋体" w:hAnsi="宋体"/>
        </w:rPr>
        <w:t>GB 14930.1</w:t>
      </w:r>
      <w:r>
        <w:rPr>
          <w:rFonts w:hint="eastAsia" w:ascii="宋体" w:hAnsi="宋体"/>
        </w:rPr>
        <w:t xml:space="preserve">  食品安全国家标准  洗涤剂</w:t>
      </w:r>
    </w:p>
    <w:p w14:paraId="4541ADCC">
      <w:pPr>
        <w:pStyle w:val="49"/>
        <w:rPr>
          <w:rFonts w:hint="eastAsia" w:ascii="宋体" w:hAnsi="宋体"/>
        </w:rPr>
      </w:pPr>
      <w:r>
        <w:rPr>
          <w:rFonts w:ascii="宋体" w:hAnsi="宋体"/>
        </w:rPr>
        <w:t>GB 14930.2</w:t>
      </w:r>
      <w:r>
        <w:rPr>
          <w:rFonts w:hint="eastAsia" w:ascii="宋体" w:hAnsi="宋体"/>
        </w:rPr>
        <w:t xml:space="preserve">  食品安全国家标准  消毒剂</w:t>
      </w:r>
    </w:p>
    <w:p w14:paraId="03B546AD">
      <w:pPr>
        <w:pStyle w:val="49"/>
        <w:rPr>
          <w:rFonts w:hint="eastAsia" w:ascii="宋体" w:hAnsi="宋体"/>
          <w:lang w:bidi="ar"/>
        </w:rPr>
      </w:pPr>
      <w:r>
        <w:rPr>
          <w:rFonts w:ascii="宋体" w:hAnsi="宋体"/>
          <w:lang w:bidi="ar"/>
        </w:rPr>
        <w:t>GB 16798</w:t>
      </w:r>
      <w:r>
        <w:rPr>
          <w:rFonts w:hint="eastAsia" w:ascii="宋体" w:hAnsi="宋体"/>
          <w:lang w:bidi="ar"/>
        </w:rPr>
        <w:t xml:space="preserve">  食品机械安全要求</w:t>
      </w:r>
    </w:p>
    <w:p w14:paraId="5C650CF9">
      <w:pPr>
        <w:pStyle w:val="49"/>
        <w:rPr>
          <w:rFonts w:hint="eastAsia" w:ascii="宋体" w:hAnsi="宋体"/>
        </w:rPr>
      </w:pPr>
      <w:r>
        <w:rPr>
          <w:rFonts w:hint="eastAsia" w:ascii="宋体" w:hAnsi="宋体"/>
        </w:rPr>
        <w:t>GB 29921  食品安全国家标准  预包装食品中致病菌限量</w:t>
      </w:r>
    </w:p>
    <w:p w14:paraId="2BAF9A27">
      <w:pPr>
        <w:pStyle w:val="49"/>
        <w:rPr>
          <w:rFonts w:hint="eastAsia" w:ascii="宋体" w:hAnsi="宋体"/>
        </w:rPr>
      </w:pPr>
      <w:r>
        <w:rPr>
          <w:rFonts w:ascii="宋体" w:hAnsi="宋体"/>
        </w:rPr>
        <w:t xml:space="preserve">GB 31646 </w:t>
      </w:r>
      <w:r>
        <w:rPr>
          <w:rFonts w:hint="eastAsia" w:ascii="宋体" w:hAnsi="宋体"/>
        </w:rPr>
        <w:t xml:space="preserve"> </w:t>
      </w:r>
      <w:r>
        <w:rPr>
          <w:rFonts w:ascii="宋体" w:hAnsi="宋体"/>
        </w:rPr>
        <w:t xml:space="preserve">食品安全国家标准 </w:t>
      </w:r>
      <w:r>
        <w:rPr>
          <w:rFonts w:hint="eastAsia" w:ascii="宋体" w:hAnsi="宋体"/>
        </w:rPr>
        <w:t xml:space="preserve"> </w:t>
      </w:r>
      <w:r>
        <w:rPr>
          <w:rFonts w:ascii="宋体" w:hAnsi="宋体"/>
        </w:rPr>
        <w:t>速冻食品生产和经营卫生规范</w:t>
      </w:r>
    </w:p>
    <w:p w14:paraId="0AB9A103">
      <w:pPr>
        <w:pStyle w:val="49"/>
        <w:rPr>
          <w:rFonts w:hint="eastAsia" w:ascii="宋体" w:hAnsi="宋体"/>
          <w:lang w:bidi="ar"/>
        </w:rPr>
      </w:pPr>
      <w:r>
        <w:rPr>
          <w:rFonts w:ascii="宋体" w:hAnsi="宋体"/>
          <w:lang w:bidi="ar"/>
        </w:rPr>
        <w:t>GB/T 31962</w:t>
      </w:r>
      <w:r>
        <w:rPr>
          <w:rFonts w:hint="eastAsia" w:ascii="宋体" w:hAnsi="宋体"/>
          <w:lang w:bidi="ar"/>
        </w:rPr>
        <w:t xml:space="preserve">  污水排入城镇下水道水质标准</w:t>
      </w:r>
    </w:p>
    <w:p w14:paraId="0E62B793">
      <w:pPr>
        <w:pStyle w:val="49"/>
        <w:rPr>
          <w:rFonts w:hint="eastAsia" w:ascii="宋体" w:hAnsi="宋体"/>
          <w:lang w:bidi="ar"/>
        </w:rPr>
      </w:pPr>
      <w:r>
        <w:rPr>
          <w:rFonts w:hint="eastAsia" w:ascii="宋体" w:hAnsi="宋体"/>
          <w:lang w:bidi="ar"/>
        </w:rPr>
        <w:t>NY/T 523  专用籽粒玉米和鲜食玉米</w:t>
      </w:r>
    </w:p>
    <w:p w14:paraId="7C2940D0">
      <w:pPr>
        <w:pStyle w:val="49"/>
        <w:tabs>
          <w:tab w:val="center" w:pos="4201"/>
          <w:tab w:val="right" w:leader="dot" w:pos="9298"/>
        </w:tabs>
        <w:rPr>
          <w:rFonts w:hint="eastAsia" w:ascii="宋体" w:hAnsi="宋体"/>
        </w:rPr>
      </w:pPr>
      <w:r>
        <w:rPr>
          <w:rFonts w:hint="eastAsia" w:ascii="宋体" w:hAnsi="宋体"/>
        </w:rPr>
        <w:t>NY/T 1278  蔬菜及其制品中可溶性糖的测定  铜还原碘量法</w:t>
      </w:r>
    </w:p>
    <w:p w14:paraId="55A87787">
      <w:pPr>
        <w:pStyle w:val="49"/>
        <w:tabs>
          <w:tab w:val="center" w:pos="4201"/>
          <w:tab w:val="right" w:leader="dot" w:pos="9298"/>
        </w:tabs>
        <w:rPr>
          <w:rFonts w:hint="eastAsia" w:ascii="宋体" w:hAnsi="宋体"/>
        </w:rPr>
      </w:pPr>
      <w:r>
        <w:rPr>
          <w:rFonts w:hint="eastAsia" w:ascii="宋体" w:hAnsi="宋体"/>
        </w:rPr>
        <w:t>NY/T 2637  水果和蔬菜可溶性固形物含量的测定  折射仪法</w:t>
      </w:r>
    </w:p>
    <w:p w14:paraId="3AFE5B92">
      <w:pPr>
        <w:pStyle w:val="46"/>
      </w:pPr>
      <w:bookmarkStart w:id="30" w:name="_Toc32446"/>
      <w:bookmarkStart w:id="31" w:name="_Toc75966014"/>
      <w:bookmarkStart w:id="32" w:name="_Toc476"/>
      <w:r>
        <w:rPr>
          <w:rFonts w:hint="eastAsia"/>
        </w:rPr>
        <w:t>术语和定义</w:t>
      </w:r>
      <w:bookmarkEnd w:id="30"/>
      <w:bookmarkEnd w:id="31"/>
      <w:bookmarkEnd w:id="32"/>
    </w:p>
    <w:p w14:paraId="4B0BCE99">
      <w:pPr>
        <w:pStyle w:val="49"/>
      </w:pPr>
      <w:r>
        <w:rPr>
          <w:rFonts w:hint="eastAsia"/>
        </w:rPr>
        <w:t>下列术语和定义适用于本文件。</w:t>
      </w:r>
    </w:p>
    <w:p w14:paraId="1F01A644">
      <w:pPr>
        <w:pStyle w:val="63"/>
      </w:pPr>
      <w:bookmarkStart w:id="33" w:name="_Toc195806938"/>
      <w:bookmarkEnd w:id="33"/>
      <w:bookmarkStart w:id="34" w:name="_Toc76030691"/>
      <w:bookmarkEnd w:id="34"/>
      <w:bookmarkStart w:id="35" w:name="_Toc17058"/>
      <w:bookmarkEnd w:id="35"/>
      <w:bookmarkStart w:id="36" w:name="_Toc23977"/>
      <w:bookmarkEnd w:id="36"/>
      <w:bookmarkStart w:id="37" w:name="_Toc19485"/>
      <w:bookmarkEnd w:id="37"/>
    </w:p>
    <w:p w14:paraId="1D543AA6">
      <w:pPr>
        <w:spacing w:line="240" w:lineRule="auto"/>
        <w:ind w:firstLine="420" w:firstLineChars="200"/>
        <w:rPr>
          <w:rFonts w:hint="eastAsia" w:ascii="黑体" w:hAnsi="黑体" w:eastAsia="黑体"/>
          <w:b/>
          <w:bCs/>
        </w:rPr>
      </w:pPr>
      <w:r>
        <w:rPr>
          <w:rFonts w:hint="eastAsia" w:ascii="黑体" w:hAnsi="黑体" w:eastAsia="黑体"/>
        </w:rPr>
        <w:t>速冻鲜食玉米 quick-frozen fresh corn</w:t>
      </w:r>
    </w:p>
    <w:p w14:paraId="435AB1C5">
      <w:pPr>
        <w:pStyle w:val="49"/>
      </w:pPr>
      <w:r>
        <w:rPr>
          <w:rFonts w:hint="eastAsia" w:cs="Times New Roman"/>
        </w:rPr>
        <w:t>以乳熟末期的新鲜玉米穗为主要原料，经过剥皮、切头切尾、清洗、蒸煮、冷却沥干等工艺，最后在</w:t>
      </w:r>
      <w:r>
        <w:rPr>
          <w:rFonts w:hint="eastAsia" w:ascii="宋体" w:hAnsi="宋体" w:cs="宋体"/>
        </w:rPr>
        <w:t>-30 ℃～-40 ℃</w:t>
      </w:r>
      <w:r>
        <w:rPr>
          <w:rFonts w:hint="eastAsia" w:cs="Times New Roman"/>
        </w:rPr>
        <w:t>温度下迅速冷冻制成的鲜食玉米</w:t>
      </w:r>
      <w:r>
        <w:rPr>
          <w:rFonts w:hint="eastAsia"/>
        </w:rPr>
        <w:t>。</w:t>
      </w:r>
    </w:p>
    <w:p w14:paraId="0962A6A4">
      <w:pPr>
        <w:pStyle w:val="63"/>
      </w:pPr>
      <w:bookmarkStart w:id="38" w:name="_Toc43"/>
      <w:bookmarkEnd w:id="38"/>
      <w:bookmarkStart w:id="39" w:name="_Toc25415"/>
      <w:bookmarkEnd w:id="39"/>
    </w:p>
    <w:p w14:paraId="289F8D6A">
      <w:pPr>
        <w:spacing w:line="240" w:lineRule="auto"/>
        <w:ind w:firstLine="420" w:firstLineChars="200"/>
        <w:rPr>
          <w:rFonts w:hint="eastAsia" w:ascii="黑体" w:hAnsi="黑体" w:eastAsia="黑体"/>
        </w:rPr>
      </w:pPr>
      <w:r>
        <w:rPr>
          <w:rFonts w:hint="eastAsia" w:ascii="黑体" w:hAnsi="黑体" w:eastAsia="黑体"/>
        </w:rPr>
        <w:t xml:space="preserve">皮渣率 residue ratio </w:t>
      </w:r>
    </w:p>
    <w:p w14:paraId="0C00D8F4">
      <w:pPr>
        <w:pStyle w:val="49"/>
      </w:pPr>
      <w:r>
        <w:rPr>
          <w:rFonts w:hint="eastAsia"/>
        </w:rPr>
        <w:t>玉米籽粒剥皮后将果皮和内容物烘干至恒重，烘干后的玉米籽粒果皮质量和果皮质量与去皮玉米籽粒内容物之和的百分比。</w:t>
      </w:r>
    </w:p>
    <w:p w14:paraId="178FBA05">
      <w:pPr>
        <w:pStyle w:val="46"/>
      </w:pPr>
      <w:bookmarkStart w:id="40" w:name="_Toc28494"/>
      <w:bookmarkEnd w:id="40"/>
      <w:bookmarkStart w:id="41" w:name="_Toc18986"/>
      <w:bookmarkEnd w:id="41"/>
      <w:bookmarkStart w:id="42" w:name="_Toc198211149"/>
      <w:bookmarkEnd w:id="42"/>
      <w:bookmarkStart w:id="43" w:name="_Toc198918482"/>
      <w:bookmarkEnd w:id="43"/>
      <w:bookmarkStart w:id="44" w:name="_Toc21240"/>
      <w:bookmarkEnd w:id="44"/>
      <w:bookmarkStart w:id="45" w:name="_Toc9397"/>
      <w:bookmarkEnd w:id="45"/>
      <w:bookmarkStart w:id="46" w:name="_Toc204162432"/>
      <w:bookmarkEnd w:id="46"/>
      <w:bookmarkStart w:id="47" w:name="_Toc13682"/>
      <w:bookmarkEnd w:id="47"/>
      <w:bookmarkStart w:id="48" w:name="_Toc30"/>
      <w:bookmarkStart w:id="49" w:name="_Toc10750"/>
      <w:r>
        <w:rPr>
          <w:rFonts w:hint="eastAsia"/>
        </w:rPr>
        <w:t>基本要求</w:t>
      </w:r>
      <w:bookmarkEnd w:id="48"/>
      <w:bookmarkEnd w:id="49"/>
    </w:p>
    <w:p w14:paraId="7FE02030">
      <w:pPr>
        <w:pStyle w:val="59"/>
        <w:spacing w:before="156" w:beforeLines="50" w:after="156" w:afterLines="50"/>
        <w:rPr>
          <w:rFonts w:hint="eastAsia" w:hAnsi="黑体" w:cs="黑体"/>
        </w:rPr>
      </w:pPr>
      <w:bookmarkStart w:id="50" w:name="_Toc39049008"/>
      <w:bookmarkEnd w:id="50"/>
      <w:bookmarkStart w:id="51" w:name="_Toc27042475"/>
      <w:bookmarkEnd w:id="51"/>
      <w:bookmarkStart w:id="52" w:name="_Toc33432138"/>
      <w:bookmarkEnd w:id="52"/>
      <w:bookmarkStart w:id="53" w:name="_Toc38982644"/>
      <w:bookmarkEnd w:id="53"/>
      <w:bookmarkStart w:id="54" w:name="_Toc39844928"/>
      <w:bookmarkEnd w:id="54"/>
      <w:bookmarkStart w:id="55" w:name="_Toc11267"/>
      <w:bookmarkStart w:id="56" w:name="_Toc21272"/>
      <w:r>
        <w:rPr>
          <w:rFonts w:hint="eastAsia" w:hAnsi="黑体" w:cs="黑体"/>
        </w:rPr>
        <w:t>原料要求</w:t>
      </w:r>
      <w:bookmarkEnd w:id="55"/>
      <w:bookmarkEnd w:id="56"/>
    </w:p>
    <w:p w14:paraId="543FD17D">
      <w:pPr>
        <w:pStyle w:val="49"/>
      </w:pPr>
      <w:r>
        <w:rPr>
          <w:rFonts w:hint="eastAsia"/>
          <w:lang w:val="en-US" w:eastAsia="zh-CN"/>
        </w:rPr>
        <w:t>原料</w:t>
      </w:r>
      <w:r>
        <w:rPr>
          <w:rFonts w:hint="eastAsia"/>
        </w:rPr>
        <w:t>应符合NY/T 523的规定。</w:t>
      </w:r>
    </w:p>
    <w:p w14:paraId="2F549296">
      <w:pPr>
        <w:pStyle w:val="46"/>
        <w:numPr>
          <w:ilvl w:val="2"/>
          <w:numId w:val="1"/>
        </w:numPr>
        <w:spacing w:before="156" w:beforeLines="50" w:after="156" w:afterLines="50"/>
        <w:outlineLvl w:val="1"/>
        <w:rPr>
          <w:rFonts w:hint="eastAsia" w:ascii="黑体" w:hAnsi="黑体"/>
        </w:rPr>
      </w:pPr>
      <w:bookmarkStart w:id="57" w:name="_Toc5178"/>
      <w:bookmarkStart w:id="58" w:name="_Toc4104"/>
      <w:bookmarkStart w:id="59" w:name="_Toc195628860"/>
      <w:r>
        <w:rPr>
          <w:rFonts w:hint="eastAsia" w:ascii="黑体" w:hAnsi="黑体"/>
        </w:rPr>
        <w:t>加工用水要求</w:t>
      </w:r>
      <w:bookmarkEnd w:id="57"/>
      <w:bookmarkEnd w:id="58"/>
      <w:bookmarkEnd w:id="59"/>
    </w:p>
    <w:p w14:paraId="5A8846BA">
      <w:pPr>
        <w:pStyle w:val="72"/>
        <w:numPr>
          <w:ilvl w:val="3"/>
          <w:numId w:val="1"/>
        </w:numPr>
        <w:spacing w:before="0" w:beforeLines="0" w:after="0" w:afterLines="0"/>
        <w:rPr>
          <w:rStyle w:val="86"/>
          <w:rFonts w:hint="eastAsia" w:ascii="宋体" w:hAnsi="宋体" w:eastAsia="宋体" w:cs="宋体"/>
        </w:rPr>
      </w:pPr>
      <w:r>
        <w:rPr>
          <w:rStyle w:val="86"/>
          <w:rFonts w:ascii="宋体" w:hAnsi="宋体" w:eastAsia="宋体" w:cs="宋体"/>
        </w:rPr>
        <w:t>加工用水应符合</w:t>
      </w:r>
      <w:r>
        <w:rPr>
          <w:rStyle w:val="86"/>
          <w:rFonts w:ascii="宋体" w:hAnsi="宋体" w:eastAsia="宋体" w:cs="Times New Roman"/>
        </w:rPr>
        <w:t>GB 5749</w:t>
      </w:r>
      <w:r>
        <w:rPr>
          <w:rStyle w:val="86"/>
          <w:rFonts w:ascii="宋体" w:hAnsi="宋体" w:eastAsia="宋体" w:cs="宋体"/>
        </w:rPr>
        <w:t>的</w:t>
      </w:r>
      <w:r>
        <w:rPr>
          <w:rStyle w:val="86"/>
          <w:rFonts w:hint="eastAsia" w:ascii="宋体" w:hAnsi="宋体" w:eastAsia="宋体" w:cs="宋体"/>
        </w:rPr>
        <w:t>规定</w:t>
      </w:r>
      <w:r>
        <w:rPr>
          <w:rStyle w:val="86"/>
          <w:rFonts w:ascii="宋体" w:hAnsi="宋体" w:eastAsia="宋体" w:cs="宋体"/>
        </w:rPr>
        <w:t>。</w:t>
      </w:r>
    </w:p>
    <w:p w14:paraId="390E3D4A">
      <w:pPr>
        <w:pStyle w:val="72"/>
        <w:numPr>
          <w:ilvl w:val="3"/>
          <w:numId w:val="1"/>
        </w:numPr>
        <w:spacing w:before="0" w:beforeLines="0" w:after="0" w:afterLines="0"/>
        <w:rPr>
          <w:rFonts w:hint="eastAsia" w:ascii="宋体" w:hAnsi="宋体" w:eastAsia="宋体" w:cs="宋体"/>
        </w:rPr>
      </w:pPr>
      <w:r>
        <w:rPr>
          <w:rStyle w:val="86"/>
          <w:rFonts w:ascii="宋体" w:hAnsi="宋体" w:eastAsia="宋体" w:cs="宋体"/>
        </w:rPr>
        <w:t>至少每半年进行一次水质卫生检测，并保存记录。</w:t>
      </w:r>
    </w:p>
    <w:p w14:paraId="7252130D">
      <w:pPr>
        <w:pStyle w:val="46"/>
        <w:numPr>
          <w:ilvl w:val="2"/>
          <w:numId w:val="1"/>
        </w:numPr>
        <w:spacing w:before="156" w:beforeLines="50" w:after="156" w:afterLines="50"/>
        <w:outlineLvl w:val="1"/>
        <w:rPr>
          <w:rFonts w:hint="eastAsia" w:ascii="黑体" w:hAnsi="黑体"/>
        </w:rPr>
      </w:pPr>
      <w:bookmarkStart w:id="60" w:name="_Toc30545"/>
      <w:bookmarkStart w:id="61" w:name="_Toc8379"/>
      <w:bookmarkStart w:id="62" w:name="_Toc7123"/>
      <w:bookmarkStart w:id="63" w:name="_Toc150415344"/>
      <w:bookmarkStart w:id="64" w:name="_Toc31652"/>
      <w:bookmarkStart w:id="65" w:name="_Toc9725"/>
      <w:bookmarkStart w:id="66" w:name="_Toc11915"/>
      <w:bookmarkStart w:id="67" w:name="_Toc16111"/>
      <w:r>
        <w:rPr>
          <w:rFonts w:hint="eastAsia" w:ascii="黑体" w:hAnsi="黑体"/>
        </w:rPr>
        <w:t>车间及设施</w:t>
      </w:r>
      <w:bookmarkEnd w:id="60"/>
      <w:bookmarkEnd w:id="61"/>
      <w:bookmarkEnd w:id="62"/>
      <w:bookmarkEnd w:id="63"/>
      <w:bookmarkEnd w:id="64"/>
      <w:bookmarkEnd w:id="65"/>
      <w:r>
        <w:rPr>
          <w:rFonts w:hint="eastAsia" w:ascii="黑体" w:hAnsi="黑体"/>
        </w:rPr>
        <w:t>要求</w:t>
      </w:r>
      <w:bookmarkEnd w:id="66"/>
      <w:bookmarkEnd w:id="67"/>
    </w:p>
    <w:p w14:paraId="51B1CB63">
      <w:pPr>
        <w:pStyle w:val="55"/>
        <w:rPr>
          <w:rFonts w:hint="eastAsia" w:ascii="宋体" w:hAnsi="宋体" w:eastAsia="宋体"/>
        </w:rPr>
      </w:pPr>
      <w:r>
        <w:rPr>
          <w:rFonts w:hint="eastAsia" w:ascii="宋体" w:hAnsi="宋体" w:eastAsia="宋体"/>
        </w:rPr>
        <w:t>建筑内部结构与材料应符合GB 14881的规定。</w:t>
      </w:r>
    </w:p>
    <w:p w14:paraId="2CD483EF">
      <w:pPr>
        <w:pStyle w:val="55"/>
        <w:rPr>
          <w:rFonts w:hint="eastAsia" w:ascii="宋体" w:hAnsi="宋体" w:eastAsia="宋体"/>
        </w:rPr>
      </w:pPr>
      <w:r>
        <w:rPr>
          <w:rFonts w:hint="eastAsia" w:ascii="宋体" w:hAnsi="宋体" w:eastAsia="宋体"/>
        </w:rPr>
        <w:t>车间内的</w:t>
      </w:r>
      <w:r>
        <w:rPr>
          <w:rFonts w:ascii="宋体" w:hAnsi="宋体" w:eastAsia="宋体"/>
        </w:rPr>
        <w:t>照明设施应装有防爆灯罩或采用其他安全照明设施，工作场所以及检验台的照度应符合生产检验的要求，光线以不改变被加工产品的本色为宜。</w:t>
      </w:r>
    </w:p>
    <w:p w14:paraId="6FD64209">
      <w:pPr>
        <w:pStyle w:val="55"/>
        <w:rPr>
          <w:rFonts w:hint="eastAsia" w:ascii="宋体" w:hAnsi="宋体" w:eastAsia="宋体"/>
        </w:rPr>
      </w:pPr>
      <w:r>
        <w:rPr>
          <w:rFonts w:ascii="宋体" w:hAnsi="宋体" w:eastAsia="宋体"/>
        </w:rPr>
        <w:t>车间应装有空气循环系统，车间夏季温度不超过</w:t>
      </w:r>
      <w:r>
        <w:rPr>
          <w:rFonts w:hint="eastAsia" w:ascii="宋体" w:hAnsi="宋体" w:eastAsia="宋体"/>
        </w:rPr>
        <w:t xml:space="preserve">30 </w:t>
      </w:r>
      <w:r>
        <w:rPr>
          <w:rFonts w:ascii="宋体" w:hAnsi="宋体" w:eastAsia="宋体"/>
        </w:rPr>
        <w:t>℃，冬季不低于</w:t>
      </w:r>
      <w:r>
        <w:rPr>
          <w:rFonts w:hint="eastAsia" w:ascii="宋体" w:hAnsi="宋体" w:eastAsia="宋体"/>
        </w:rPr>
        <w:t xml:space="preserve">15 </w:t>
      </w:r>
      <w:r>
        <w:rPr>
          <w:rFonts w:ascii="宋体" w:hAnsi="宋体" w:eastAsia="宋体"/>
        </w:rPr>
        <w:t>℃，相对湿度为</w:t>
      </w:r>
      <w:r>
        <w:rPr>
          <w:rFonts w:hint="eastAsia" w:ascii="宋体" w:hAnsi="宋体" w:eastAsia="宋体"/>
        </w:rPr>
        <w:t>50%～60</w:t>
      </w:r>
      <w:r>
        <w:rPr>
          <w:rFonts w:ascii="宋体" w:hAnsi="宋体" w:eastAsia="宋体"/>
        </w:rPr>
        <w:t>%</w:t>
      </w:r>
      <w:r>
        <w:rPr>
          <w:rFonts w:hint="eastAsia" w:ascii="宋体" w:hAnsi="宋体" w:eastAsia="宋体"/>
        </w:rPr>
        <w:t>，并设有防虫蝇、防鼠装置</w:t>
      </w:r>
      <w:r>
        <w:rPr>
          <w:rFonts w:ascii="宋体" w:hAnsi="宋体" w:eastAsia="宋体"/>
        </w:rPr>
        <w:t>。</w:t>
      </w:r>
    </w:p>
    <w:p w14:paraId="09B047C9">
      <w:pPr>
        <w:pStyle w:val="55"/>
        <w:rPr>
          <w:rFonts w:eastAsia="宋体"/>
        </w:rPr>
      </w:pPr>
      <w:bookmarkStart w:id="68" w:name="_Toc150415345"/>
      <w:r>
        <w:rPr>
          <w:rFonts w:ascii="宋体" w:hAnsi="宋体" w:eastAsia="宋体"/>
        </w:rPr>
        <w:t>原材料仓库（含包材仓库、辅料仓库、卸料区）、制造车间（含打包间）、成品仓库（含装货区域）必须进行物理隔离</w:t>
      </w:r>
      <w:r>
        <w:rPr>
          <w:rFonts w:hint="eastAsia" w:ascii="宋体" w:hAnsi="宋体" w:eastAsia="宋体"/>
        </w:rPr>
        <w:t>，</w:t>
      </w:r>
      <w:r>
        <w:rPr>
          <w:rFonts w:ascii="宋体" w:hAnsi="宋体" w:eastAsia="宋体"/>
        </w:rPr>
        <w:t>原料仓应位于相对下风口区域，成品仓库应位于相对上风口区域。</w:t>
      </w:r>
    </w:p>
    <w:p w14:paraId="4ABEAEE1">
      <w:pPr>
        <w:pStyle w:val="55"/>
        <w:rPr>
          <w:rFonts w:hint="eastAsia" w:ascii="宋体" w:hAnsi="宋体" w:eastAsia="宋体"/>
        </w:rPr>
      </w:pPr>
      <w:r>
        <w:rPr>
          <w:rFonts w:hint="eastAsia" w:ascii="宋体" w:hAnsi="宋体" w:eastAsia="宋体"/>
        </w:rPr>
        <w:t>车间</w:t>
      </w:r>
      <w:r>
        <w:rPr>
          <w:rFonts w:ascii="宋体" w:hAnsi="宋体" w:eastAsia="宋体"/>
        </w:rPr>
        <w:t>工作噪声不应超过85 dB(A)，噪声大于规定要求的位置应采取噪声隔离措施。</w:t>
      </w:r>
    </w:p>
    <w:p w14:paraId="1047C4CF">
      <w:pPr>
        <w:pStyle w:val="46"/>
        <w:numPr>
          <w:ilvl w:val="2"/>
          <w:numId w:val="1"/>
        </w:numPr>
        <w:spacing w:before="156" w:beforeLines="50" w:after="156" w:afterLines="50"/>
        <w:outlineLvl w:val="1"/>
        <w:rPr>
          <w:rFonts w:hint="eastAsia" w:ascii="黑体" w:hAnsi="黑体"/>
        </w:rPr>
      </w:pPr>
      <w:bookmarkStart w:id="69" w:name="_Toc10959"/>
      <w:bookmarkStart w:id="70" w:name="_Toc21237"/>
      <w:bookmarkStart w:id="71" w:name="_Toc5581"/>
      <w:bookmarkStart w:id="72" w:name="_Toc2048"/>
      <w:bookmarkStart w:id="73" w:name="_Toc6465"/>
      <w:bookmarkStart w:id="74" w:name="_Toc18995"/>
      <w:bookmarkStart w:id="75" w:name="_Toc11837"/>
      <w:r>
        <w:rPr>
          <w:rFonts w:hint="eastAsia" w:ascii="黑体" w:hAnsi="黑体"/>
        </w:rPr>
        <w:t>排水设施</w:t>
      </w:r>
      <w:bookmarkEnd w:id="69"/>
      <w:bookmarkEnd w:id="70"/>
      <w:bookmarkEnd w:id="71"/>
      <w:bookmarkEnd w:id="72"/>
      <w:bookmarkEnd w:id="73"/>
      <w:r>
        <w:rPr>
          <w:rFonts w:hint="eastAsia" w:ascii="黑体" w:hAnsi="黑体"/>
        </w:rPr>
        <w:t>要求</w:t>
      </w:r>
      <w:bookmarkEnd w:id="74"/>
      <w:bookmarkEnd w:id="75"/>
    </w:p>
    <w:p w14:paraId="2C55EF39">
      <w:pPr>
        <w:pStyle w:val="55"/>
        <w:rPr>
          <w:rFonts w:hint="eastAsia" w:ascii="宋体" w:hAnsi="宋体" w:eastAsia="宋体"/>
        </w:rPr>
      </w:pPr>
      <w:r>
        <w:rPr>
          <w:rFonts w:ascii="宋体" w:hAnsi="宋体" w:eastAsia="宋体" w:cs="Times New Roman"/>
        </w:rPr>
        <w:t>排水系统的设</w:t>
      </w:r>
      <w:r>
        <w:rPr>
          <w:rFonts w:ascii="宋体" w:hAnsi="宋体" w:eastAsia="宋体"/>
        </w:rPr>
        <w:t>计和建造应保证排水畅通，便于清洁维护。</w:t>
      </w:r>
    </w:p>
    <w:p w14:paraId="77C7361F">
      <w:pPr>
        <w:pStyle w:val="55"/>
        <w:rPr>
          <w:rFonts w:hint="eastAsia" w:ascii="宋体" w:hAnsi="宋体" w:eastAsia="宋体"/>
        </w:rPr>
      </w:pPr>
      <w:r>
        <w:rPr>
          <w:rFonts w:ascii="宋体" w:hAnsi="宋体" w:eastAsia="宋体"/>
        </w:rPr>
        <w:t>排水系统出口处应采取适当措施以降低虫害风险。</w:t>
      </w:r>
    </w:p>
    <w:p w14:paraId="307429FD">
      <w:pPr>
        <w:pStyle w:val="55"/>
        <w:rPr>
          <w:rFonts w:hint="eastAsia" w:ascii="宋体" w:hAnsi="宋体" w:eastAsia="宋体"/>
        </w:rPr>
      </w:pPr>
      <w:r>
        <w:rPr>
          <w:rFonts w:ascii="宋体" w:hAnsi="宋体" w:eastAsia="宋体"/>
        </w:rPr>
        <w:t>排水口应设置在易于清洁的区域，并配有相应大小的滤网等装置，防止产生异味及固体废弃物堵塞排水管道。</w:t>
      </w:r>
    </w:p>
    <w:p w14:paraId="737BA9F2">
      <w:pPr>
        <w:pStyle w:val="55"/>
        <w:rPr>
          <w:rFonts w:hint="eastAsia" w:ascii="宋体" w:hAnsi="宋体" w:eastAsia="宋体"/>
        </w:rPr>
      </w:pPr>
      <w:r>
        <w:rPr>
          <w:rFonts w:ascii="宋体" w:hAnsi="宋体" w:eastAsia="宋体"/>
        </w:rPr>
        <w:t>根据污水中污染物性质采取合理有效的排放形式，应符合国家相关标准的规定。</w:t>
      </w:r>
    </w:p>
    <w:p w14:paraId="6A339D5A">
      <w:pPr>
        <w:pStyle w:val="55"/>
        <w:rPr>
          <w:rFonts w:hint="eastAsia" w:ascii="宋体" w:hAnsi="宋体" w:eastAsia="宋体"/>
        </w:rPr>
      </w:pPr>
      <w:r>
        <w:rPr>
          <w:rFonts w:ascii="宋体" w:hAnsi="宋体" w:eastAsia="宋体"/>
        </w:rPr>
        <w:t>单独排放的污水应</w:t>
      </w:r>
      <w:r>
        <w:rPr>
          <w:rFonts w:hint="eastAsia" w:ascii="宋体" w:hAnsi="宋体" w:eastAsia="宋体"/>
        </w:rPr>
        <w:t>符合</w:t>
      </w:r>
      <w:r>
        <w:rPr>
          <w:rFonts w:ascii="宋体" w:hAnsi="宋体" w:eastAsia="宋体"/>
        </w:rPr>
        <w:t>污水排</w:t>
      </w:r>
      <w:r>
        <w:rPr>
          <w:rFonts w:hint="eastAsia" w:ascii="宋体" w:hAnsi="宋体" w:eastAsia="宋体"/>
        </w:rPr>
        <w:t>放</w:t>
      </w:r>
      <w:r>
        <w:rPr>
          <w:rFonts w:ascii="宋体" w:hAnsi="宋体" w:eastAsia="宋体"/>
        </w:rPr>
        <w:t>标准或污水综合排放标准，排入城市下水道的污水应符合GB/T 31962的规定。</w:t>
      </w:r>
    </w:p>
    <w:p w14:paraId="59286A06">
      <w:pPr>
        <w:pStyle w:val="55"/>
        <w:rPr>
          <w:rFonts w:hint="eastAsia" w:ascii="宋体" w:hAnsi="宋体" w:eastAsia="宋体"/>
        </w:rPr>
      </w:pPr>
      <w:r>
        <w:rPr>
          <w:rFonts w:ascii="宋体" w:hAnsi="宋体" w:eastAsia="宋体"/>
        </w:rPr>
        <w:t>排水系统和废弃物处理系统应与</w:t>
      </w:r>
      <w:r>
        <w:rPr>
          <w:rFonts w:hint="eastAsia" w:ascii="宋体" w:hAnsi="宋体" w:eastAsia="宋体"/>
        </w:rPr>
        <w:t>鲜食玉米</w:t>
      </w:r>
      <w:r>
        <w:rPr>
          <w:rFonts w:ascii="宋体" w:hAnsi="宋体" w:eastAsia="宋体"/>
        </w:rPr>
        <w:t>加工和储存间完全隔离。</w:t>
      </w:r>
    </w:p>
    <w:p w14:paraId="7E784A55">
      <w:pPr>
        <w:pStyle w:val="55"/>
        <w:rPr>
          <w:rFonts w:hint="eastAsia" w:ascii="宋体" w:hAnsi="宋体" w:eastAsia="宋体"/>
        </w:rPr>
      </w:pPr>
      <w:r>
        <w:rPr>
          <w:rFonts w:ascii="宋体" w:hAnsi="宋体" w:eastAsia="宋体"/>
        </w:rPr>
        <w:t>废弃物处理应避免对生活饮用水造成污染。</w:t>
      </w:r>
    </w:p>
    <w:bookmarkEnd w:id="68"/>
    <w:p w14:paraId="67C89D22">
      <w:pPr>
        <w:pStyle w:val="46"/>
        <w:numPr>
          <w:ilvl w:val="2"/>
          <w:numId w:val="1"/>
        </w:numPr>
        <w:spacing w:before="156" w:beforeLines="50" w:after="156" w:afterLines="50"/>
        <w:outlineLvl w:val="1"/>
        <w:rPr>
          <w:rFonts w:hint="eastAsia" w:ascii="黑体" w:hAnsi="黑体"/>
        </w:rPr>
      </w:pPr>
      <w:bookmarkStart w:id="76" w:name="_Toc195628890"/>
      <w:bookmarkStart w:id="77" w:name="_Toc17711"/>
      <w:bookmarkStart w:id="78" w:name="_Toc11432"/>
      <w:r>
        <w:rPr>
          <w:rFonts w:hint="eastAsia" w:ascii="黑体" w:hAnsi="黑体"/>
        </w:rPr>
        <w:t>生产设备组成及要求</w:t>
      </w:r>
      <w:bookmarkEnd w:id="76"/>
      <w:bookmarkEnd w:id="77"/>
      <w:bookmarkEnd w:id="78"/>
    </w:p>
    <w:p w14:paraId="1640FDBE">
      <w:pPr>
        <w:pStyle w:val="55"/>
      </w:pPr>
      <w:bookmarkStart w:id="79" w:name="_Toc195628891"/>
      <w:bookmarkEnd w:id="79"/>
      <w:bookmarkStart w:id="80" w:name="_Toc195806945"/>
      <w:bookmarkStart w:id="81" w:name="_Toc195628892"/>
      <w:r>
        <w:rPr>
          <w:rFonts w:hint="eastAsia"/>
          <w:lang w:val="en-US" w:eastAsia="zh-CN" w:bidi="ar"/>
        </w:rPr>
        <w:t>生产设备</w:t>
      </w:r>
      <w:r>
        <w:rPr>
          <w:lang w:bidi="ar"/>
        </w:rPr>
        <w:t>组成</w:t>
      </w:r>
    </w:p>
    <w:p w14:paraId="56531413">
      <w:pPr>
        <w:pStyle w:val="56"/>
        <w:outlineLvl w:val="2"/>
        <w:rPr>
          <w:rFonts w:ascii="Times New Roman" w:eastAsia="宋体" w:cs="Times New Roman"/>
        </w:rPr>
      </w:pPr>
      <w:r>
        <w:rPr>
          <w:rFonts w:hint="eastAsia" w:ascii="Times New Roman" w:eastAsia="宋体" w:cs="Times New Roman"/>
        </w:rPr>
        <w:t>生产设备的基本配置应包括下列设备：</w:t>
      </w:r>
    </w:p>
    <w:p w14:paraId="4C3603A1">
      <w:pPr>
        <w:numPr>
          <w:ilvl w:val="0"/>
          <w:numId w:val="8"/>
        </w:numPr>
        <w:adjustRightInd/>
        <w:spacing w:line="240" w:lineRule="auto"/>
        <w:ind w:left="0" w:firstLine="420" w:firstLineChars="200"/>
        <w:rPr>
          <w:rFonts w:hint="eastAsia" w:ascii="宋体" w:hAnsi="宋体" w:cs="Times New Roman"/>
          <w:kern w:val="0"/>
        </w:rPr>
      </w:pPr>
      <w:r>
        <w:rPr>
          <w:rFonts w:hint="eastAsia" w:ascii="宋体" w:hAnsi="宋体" w:cs="Times New Roman"/>
          <w:kern w:val="0"/>
        </w:rPr>
        <w:t>剥皮设备</w:t>
      </w:r>
      <w:r>
        <w:rPr>
          <w:rFonts w:ascii="宋体" w:hAnsi="宋体" w:cs="Times New Roman"/>
          <w:kern w:val="0"/>
        </w:rPr>
        <w:t>；</w:t>
      </w:r>
    </w:p>
    <w:p w14:paraId="4F361273">
      <w:pPr>
        <w:numPr>
          <w:ilvl w:val="0"/>
          <w:numId w:val="8"/>
        </w:numPr>
        <w:adjustRightInd/>
        <w:spacing w:line="240" w:lineRule="auto"/>
        <w:ind w:left="0" w:firstLine="420" w:firstLineChars="200"/>
        <w:rPr>
          <w:rFonts w:hint="eastAsia" w:ascii="宋体" w:hAnsi="宋体" w:cs="Times New Roman"/>
          <w:kern w:val="0"/>
        </w:rPr>
      </w:pPr>
      <w:r>
        <w:rPr>
          <w:rFonts w:hint="eastAsia" w:ascii="宋体" w:hAnsi="宋体" w:cs="Times New Roman"/>
          <w:kern w:val="0"/>
        </w:rPr>
        <w:t>切头切尾设备；</w:t>
      </w:r>
    </w:p>
    <w:p w14:paraId="686EB33F">
      <w:pPr>
        <w:numPr>
          <w:ilvl w:val="0"/>
          <w:numId w:val="8"/>
        </w:numPr>
        <w:adjustRightInd/>
        <w:spacing w:line="240" w:lineRule="auto"/>
        <w:ind w:left="0" w:firstLine="420" w:firstLineChars="200"/>
        <w:rPr>
          <w:rFonts w:hint="eastAsia" w:ascii="宋体" w:hAnsi="宋体" w:cs="Times New Roman"/>
          <w:kern w:val="0"/>
        </w:rPr>
      </w:pPr>
      <w:r>
        <w:rPr>
          <w:rFonts w:hint="eastAsia" w:ascii="宋体" w:hAnsi="宋体" w:cs="Times New Roman"/>
          <w:kern w:val="0"/>
        </w:rPr>
        <w:t>清洗设备；</w:t>
      </w:r>
    </w:p>
    <w:p w14:paraId="79DF602F">
      <w:pPr>
        <w:numPr>
          <w:ilvl w:val="0"/>
          <w:numId w:val="8"/>
        </w:numPr>
        <w:adjustRightInd/>
        <w:spacing w:line="240" w:lineRule="auto"/>
        <w:ind w:left="0" w:firstLine="420" w:firstLineChars="200"/>
        <w:rPr>
          <w:rFonts w:hint="eastAsia" w:ascii="宋体" w:hAnsi="宋体" w:cs="Times New Roman"/>
          <w:kern w:val="0"/>
        </w:rPr>
      </w:pPr>
      <w:r>
        <w:rPr>
          <w:rFonts w:hint="eastAsia" w:ascii="宋体" w:hAnsi="宋体" w:cs="Times New Roman"/>
          <w:kern w:val="0"/>
        </w:rPr>
        <w:t>蒸煮设备；</w:t>
      </w:r>
    </w:p>
    <w:p w14:paraId="0979E549">
      <w:pPr>
        <w:numPr>
          <w:ilvl w:val="0"/>
          <w:numId w:val="8"/>
        </w:numPr>
        <w:adjustRightInd/>
        <w:spacing w:line="240" w:lineRule="auto"/>
        <w:ind w:left="0" w:firstLine="420" w:firstLineChars="200"/>
        <w:rPr>
          <w:rFonts w:hint="eastAsia" w:ascii="宋体" w:hAnsi="宋体" w:cs="Times New Roman"/>
          <w:kern w:val="0"/>
        </w:rPr>
      </w:pPr>
      <w:r>
        <w:rPr>
          <w:rFonts w:hint="eastAsia" w:ascii="宋体" w:hAnsi="宋体" w:cs="Times New Roman"/>
          <w:kern w:val="0"/>
        </w:rPr>
        <w:t>冷却设备；</w:t>
      </w:r>
    </w:p>
    <w:p w14:paraId="245DDEE3">
      <w:pPr>
        <w:numPr>
          <w:ilvl w:val="0"/>
          <w:numId w:val="8"/>
        </w:numPr>
        <w:adjustRightInd/>
        <w:spacing w:line="240" w:lineRule="auto"/>
        <w:ind w:left="0" w:firstLine="420" w:firstLineChars="200"/>
        <w:rPr>
          <w:rFonts w:hint="eastAsia" w:ascii="宋体" w:hAnsi="宋体" w:cs="Times New Roman"/>
          <w:kern w:val="0"/>
        </w:rPr>
      </w:pPr>
      <w:r>
        <w:rPr>
          <w:rFonts w:hint="eastAsia" w:ascii="宋体" w:hAnsi="宋体" w:cs="Times New Roman"/>
          <w:kern w:val="0"/>
        </w:rPr>
        <w:t>速冻设备。</w:t>
      </w:r>
    </w:p>
    <w:p w14:paraId="403C7B3D">
      <w:pPr>
        <w:pStyle w:val="56"/>
        <w:widowControl w:val="0"/>
        <w:outlineLvl w:val="2"/>
        <w:rPr>
          <w:rFonts w:ascii="Times New Roman" w:eastAsia="宋体" w:cs="Times New Roman"/>
        </w:rPr>
      </w:pPr>
      <w:r>
        <w:rPr>
          <w:rFonts w:hint="eastAsia" w:ascii="Times New Roman" w:eastAsia="宋体" w:cs="Times New Roman"/>
        </w:rPr>
        <w:t>生产设备可选配置包括但不限于下列设备：</w:t>
      </w:r>
    </w:p>
    <w:p w14:paraId="6B50A5A7">
      <w:pPr>
        <w:numPr>
          <w:ilvl w:val="0"/>
          <w:numId w:val="9"/>
        </w:numPr>
        <w:adjustRightInd/>
        <w:spacing w:line="240" w:lineRule="auto"/>
        <w:ind w:left="0" w:firstLine="420" w:firstLineChars="200"/>
        <w:rPr>
          <w:rFonts w:hint="eastAsia" w:ascii="宋体" w:hAnsi="宋体" w:cs="Times New Roman"/>
          <w:kern w:val="0"/>
        </w:rPr>
      </w:pPr>
      <w:r>
        <w:rPr>
          <w:rFonts w:hint="eastAsia" w:ascii="宋体" w:hAnsi="宋体" w:cs="Times New Roman"/>
          <w:kern w:val="0"/>
        </w:rPr>
        <w:t>金检设备</w:t>
      </w:r>
      <w:r>
        <w:rPr>
          <w:rFonts w:ascii="宋体" w:hAnsi="宋体" w:cs="Times New Roman"/>
          <w:kern w:val="0"/>
        </w:rPr>
        <w:t>；</w:t>
      </w:r>
    </w:p>
    <w:p w14:paraId="0FEFF759">
      <w:pPr>
        <w:numPr>
          <w:ilvl w:val="0"/>
          <w:numId w:val="9"/>
        </w:numPr>
        <w:adjustRightInd/>
        <w:spacing w:line="240" w:lineRule="auto"/>
        <w:ind w:left="0" w:firstLine="420" w:firstLineChars="200"/>
        <w:rPr>
          <w:rFonts w:hint="eastAsia" w:ascii="宋体" w:hAnsi="宋体" w:cs="Times New Roman"/>
          <w:kern w:val="0"/>
        </w:rPr>
      </w:pPr>
      <w:r>
        <w:rPr>
          <w:rFonts w:hint="eastAsia" w:ascii="宋体" w:hAnsi="宋体" w:cs="Times New Roman"/>
          <w:kern w:val="0"/>
        </w:rPr>
        <w:t>在线监测设备。</w:t>
      </w:r>
    </w:p>
    <w:p w14:paraId="03F0D898">
      <w:pPr>
        <w:pStyle w:val="55"/>
        <w:rPr>
          <w:rFonts w:hint="eastAsia" w:ascii="宋体" w:hAnsi="宋体" w:eastAsia="宋体" w:cs="Times New Roman"/>
        </w:rPr>
      </w:pPr>
      <w:r>
        <w:rPr>
          <w:rFonts w:hint="eastAsia" w:ascii="宋体" w:hAnsi="宋体" w:cs="Times New Roman"/>
          <w:lang w:val="en-US" w:eastAsia="zh-CN"/>
        </w:rPr>
        <w:t>生产设备</w:t>
      </w:r>
      <w:r>
        <w:rPr>
          <w:rFonts w:hint="eastAsia" w:ascii="宋体" w:hAnsi="宋体" w:cs="Times New Roman"/>
        </w:rPr>
        <w:t>要求</w:t>
      </w:r>
    </w:p>
    <w:p w14:paraId="49B1E8BB">
      <w:pPr>
        <w:pStyle w:val="56"/>
        <w:outlineLvl w:val="2"/>
        <w:rPr>
          <w:rFonts w:hint="eastAsia" w:ascii="宋体" w:hAnsi="宋体" w:eastAsia="宋体"/>
        </w:rPr>
      </w:pPr>
      <w:r>
        <w:rPr>
          <w:rFonts w:ascii="宋体" w:hAnsi="宋体" w:eastAsia="宋体"/>
        </w:rPr>
        <w:t>生产设备应按工艺流程合理布局，避免交叉污染。</w:t>
      </w:r>
      <w:bookmarkEnd w:id="80"/>
      <w:bookmarkEnd w:id="81"/>
    </w:p>
    <w:p w14:paraId="493A1989">
      <w:pPr>
        <w:pStyle w:val="56"/>
        <w:outlineLvl w:val="2"/>
        <w:rPr>
          <w:rFonts w:hint="eastAsia" w:ascii="宋体" w:hAnsi="宋体" w:eastAsia="宋体"/>
        </w:rPr>
      </w:pPr>
      <w:bookmarkStart w:id="82" w:name="_Toc195806946"/>
      <w:bookmarkStart w:id="83" w:name="_Toc195628893"/>
      <w:r>
        <w:rPr>
          <w:rFonts w:hint="eastAsia" w:ascii="宋体" w:hAnsi="宋体" w:eastAsia="宋体"/>
        </w:rPr>
        <w:t>生产</w:t>
      </w:r>
      <w:r>
        <w:rPr>
          <w:rFonts w:ascii="宋体" w:hAnsi="宋体" w:eastAsia="宋体"/>
        </w:rPr>
        <w:t>设备及配套装置应符合GB 16798的</w:t>
      </w:r>
      <w:r>
        <w:rPr>
          <w:rFonts w:hint="eastAsia" w:ascii="宋体" w:hAnsi="宋体" w:eastAsia="宋体"/>
        </w:rPr>
        <w:t>规定</w:t>
      </w:r>
      <w:r>
        <w:rPr>
          <w:rFonts w:ascii="宋体" w:hAnsi="宋体" w:eastAsia="宋体"/>
        </w:rPr>
        <w:t>，需经过检验合格，并于生产前调试至正常工作状态。</w:t>
      </w:r>
      <w:bookmarkEnd w:id="82"/>
      <w:bookmarkEnd w:id="83"/>
    </w:p>
    <w:p w14:paraId="54F2812C">
      <w:pPr>
        <w:pStyle w:val="56"/>
        <w:outlineLvl w:val="2"/>
        <w:rPr>
          <w:rFonts w:hint="eastAsia" w:ascii="宋体" w:hAnsi="宋体" w:eastAsia="宋体"/>
        </w:rPr>
      </w:pPr>
      <w:bookmarkStart w:id="84" w:name="_Toc195628894"/>
      <w:bookmarkStart w:id="85" w:name="_Toc195806947"/>
      <w:r>
        <w:rPr>
          <w:rFonts w:ascii="宋体" w:hAnsi="宋体" w:eastAsia="宋体"/>
        </w:rPr>
        <w:t>所有与原料直接接触的设备和工具，表面材料应符合GB 14881的规定。</w:t>
      </w:r>
      <w:bookmarkEnd w:id="84"/>
      <w:bookmarkEnd w:id="85"/>
    </w:p>
    <w:p w14:paraId="76525E1B">
      <w:pPr>
        <w:pStyle w:val="56"/>
        <w:outlineLvl w:val="2"/>
        <w:rPr>
          <w:rFonts w:hint="eastAsia" w:ascii="宋体" w:hAnsi="宋体" w:eastAsia="宋体"/>
        </w:rPr>
      </w:pPr>
      <w:bookmarkStart w:id="86" w:name="_Toc195628895"/>
      <w:bookmarkEnd w:id="86"/>
      <w:bookmarkStart w:id="87" w:name="_Toc195628896"/>
      <w:bookmarkStart w:id="88" w:name="_Toc195806948"/>
      <w:r>
        <w:rPr>
          <w:rFonts w:ascii="宋体" w:hAnsi="宋体" w:eastAsia="宋体"/>
        </w:rPr>
        <w:t>与原料、半成品、成品加工产品接触的设备与用具，应使用无毒、无味、抗腐蚀、不易脱落的材料制作，并应易于清洁和保养，在正常生产条件下不会与食品、清洁剂和消毒剂发生反应，并应保持完好无损。</w:t>
      </w:r>
      <w:bookmarkEnd w:id="87"/>
      <w:bookmarkEnd w:id="88"/>
    </w:p>
    <w:p w14:paraId="50F12BF1">
      <w:pPr>
        <w:pStyle w:val="56"/>
        <w:outlineLvl w:val="2"/>
        <w:rPr>
          <w:rFonts w:hint="eastAsia" w:ascii="宋体" w:hAnsi="宋体" w:eastAsia="宋体"/>
        </w:rPr>
      </w:pPr>
      <w:r>
        <w:rPr>
          <w:rFonts w:ascii="宋体" w:hAnsi="宋体" w:eastAsia="宋体"/>
        </w:rPr>
        <w:t>剥皮设备的剥净率不应小于98%。</w:t>
      </w:r>
    </w:p>
    <w:p w14:paraId="4F2F9963">
      <w:pPr>
        <w:pStyle w:val="48"/>
        <w:ind w:left="780" w:leftChars="200" w:hanging="360" w:hangingChars="200"/>
        <w:rPr>
          <w:rFonts w:hint="eastAsia" w:ascii="Times New Roman" w:cs="Times New Roman"/>
          <w:color w:val="000000"/>
          <w:sz w:val="18"/>
          <w:szCs w:val="16"/>
        </w:rPr>
      </w:pPr>
      <w:r>
        <w:rPr>
          <w:rFonts w:hint="eastAsia" w:ascii="黑体" w:hAnsi="黑体" w:eastAsia="黑体" w:cs="黑体"/>
          <w:color w:val="000000"/>
          <w:sz w:val="18"/>
          <w:szCs w:val="16"/>
        </w:rPr>
        <w:t>注：</w:t>
      </w:r>
      <w:r>
        <w:rPr>
          <w:rFonts w:hint="eastAsia" w:ascii="Times New Roman" w:cs="Times New Roman"/>
          <w:color w:val="000000"/>
          <w:sz w:val="18"/>
          <w:szCs w:val="16"/>
        </w:rPr>
        <w:t>剥净率是指玉米穗经剥皮设备处理后，苞叶≤3片的玉米穗数量占玉米穗总数的百分比。</w:t>
      </w:r>
    </w:p>
    <w:p w14:paraId="701C46D3">
      <w:pPr>
        <w:pStyle w:val="56"/>
        <w:outlineLvl w:val="2"/>
        <w:rPr>
          <w:rFonts w:hint="eastAsia" w:ascii="宋体" w:hAnsi="宋体" w:eastAsia="宋体"/>
        </w:rPr>
      </w:pPr>
      <w:r>
        <w:rPr>
          <w:rFonts w:ascii="宋体" w:hAnsi="宋体" w:eastAsia="宋体"/>
        </w:rPr>
        <w:t>清洗设备的杂质残留率不应大于2%。</w:t>
      </w:r>
    </w:p>
    <w:p w14:paraId="07D60105">
      <w:pPr>
        <w:pStyle w:val="48"/>
        <w:ind w:left="780" w:leftChars="200" w:hanging="360" w:hangingChars="200"/>
        <w:rPr>
          <w:rFonts w:hint="eastAsia" w:ascii="Times New Roman" w:cs="Times New Roman"/>
          <w:color w:val="000000"/>
          <w:sz w:val="18"/>
          <w:szCs w:val="16"/>
        </w:rPr>
      </w:pPr>
      <w:r>
        <w:rPr>
          <w:rFonts w:hint="eastAsia" w:ascii="黑体" w:hAnsi="黑体" w:eastAsia="黑体" w:cs="黑体"/>
          <w:color w:val="000000"/>
          <w:sz w:val="18"/>
          <w:szCs w:val="16"/>
        </w:rPr>
        <w:t>注：</w:t>
      </w:r>
      <w:r>
        <w:rPr>
          <w:rFonts w:hint="eastAsia" w:ascii="Times New Roman" w:cs="Times New Roman"/>
          <w:color w:val="000000"/>
          <w:sz w:val="18"/>
          <w:szCs w:val="16"/>
        </w:rPr>
        <w:t>杂质残留率是指玉米穗经清洗设备处理后，表面及缝隙中存在苞叶、碎屑等杂质的玉米穗数量占清洗的玉米穗总数的百分比。</w:t>
      </w:r>
    </w:p>
    <w:p w14:paraId="37F1D3BD">
      <w:pPr>
        <w:pStyle w:val="56"/>
        <w:outlineLvl w:val="2"/>
        <w:rPr>
          <w:rFonts w:hint="eastAsia" w:ascii="宋体" w:hAnsi="宋体" w:eastAsia="宋体"/>
        </w:rPr>
      </w:pPr>
      <w:r>
        <w:rPr>
          <w:rFonts w:ascii="宋体" w:hAnsi="宋体" w:eastAsia="宋体"/>
        </w:rPr>
        <w:t>蒸煮设备的蒸煮温度及蒸煮时间应满足加工速冻鲜食玉米蒸煮工艺的要求，应有防烫伤保护措施。</w:t>
      </w:r>
    </w:p>
    <w:p w14:paraId="5354D8F8">
      <w:pPr>
        <w:pStyle w:val="56"/>
        <w:outlineLvl w:val="2"/>
        <w:rPr>
          <w:rFonts w:hint="eastAsia" w:ascii="宋体" w:hAnsi="宋体" w:eastAsia="宋体"/>
        </w:rPr>
      </w:pPr>
      <w:r>
        <w:rPr>
          <w:rFonts w:ascii="宋体" w:hAnsi="宋体" w:eastAsia="宋体"/>
        </w:rPr>
        <w:t>速冻设备的速冻温度及速冻时间应满足加工速冻鲜食玉米速冻工艺的要求，速冻设备的速冻率不应小于99%，应有防冻伤保护措施。</w:t>
      </w:r>
    </w:p>
    <w:p w14:paraId="79147DBA">
      <w:pPr>
        <w:pStyle w:val="48"/>
        <w:ind w:left="780" w:leftChars="200" w:hanging="360" w:hangingChars="200"/>
        <w:rPr>
          <w:rFonts w:hint="eastAsia" w:ascii="Times New Roman" w:cs="Times New Roman"/>
          <w:color w:val="000000"/>
          <w:sz w:val="18"/>
          <w:szCs w:val="16"/>
        </w:rPr>
      </w:pPr>
      <w:r>
        <w:rPr>
          <w:rFonts w:hint="eastAsia" w:ascii="黑体" w:hAnsi="黑体" w:eastAsia="黑体" w:cs="黑体"/>
          <w:color w:val="000000"/>
          <w:sz w:val="18"/>
          <w:szCs w:val="16"/>
        </w:rPr>
        <w:t>注：</w:t>
      </w:r>
      <w:r>
        <w:rPr>
          <w:rFonts w:hint="eastAsia" w:ascii="Times New Roman" w:cs="Times New Roman"/>
          <w:color w:val="000000"/>
          <w:sz w:val="18"/>
          <w:szCs w:val="16"/>
        </w:rPr>
        <w:t>速冻率是指鲜食玉米经速冻设备处理后，在单位时间内中心温度降至-18 ℃以下的速冻鲜食玉米数量占速冻鲜食玉米总数的百分比。</w:t>
      </w:r>
    </w:p>
    <w:p w14:paraId="22284E65">
      <w:pPr>
        <w:pStyle w:val="56"/>
        <w:outlineLvl w:val="2"/>
        <w:rPr>
          <w:rFonts w:hint="eastAsia" w:ascii="宋体" w:hAnsi="宋体" w:eastAsia="宋体"/>
        </w:rPr>
      </w:pPr>
      <w:bookmarkStart w:id="89" w:name="_Toc195628898"/>
      <w:bookmarkStart w:id="90" w:name="_Toc195806949"/>
      <w:r>
        <w:rPr>
          <w:rFonts w:ascii="宋体" w:hAnsi="宋体" w:eastAsia="宋体"/>
        </w:rPr>
        <w:t>用于监测、控制、记录的设备，如压力表、温度计、记录仪等，应定期校准、维护。</w:t>
      </w:r>
      <w:bookmarkEnd w:id="89"/>
      <w:bookmarkEnd w:id="90"/>
    </w:p>
    <w:p w14:paraId="7F543C0C">
      <w:pPr>
        <w:pStyle w:val="56"/>
        <w:outlineLvl w:val="2"/>
        <w:rPr>
          <w:rFonts w:hint="eastAsia" w:ascii="宋体" w:hAnsi="宋体" w:eastAsia="宋体"/>
        </w:rPr>
      </w:pPr>
      <w:bookmarkStart w:id="91" w:name="_Toc195628899"/>
      <w:bookmarkStart w:id="92" w:name="_Toc195806950"/>
      <w:r>
        <w:rPr>
          <w:rFonts w:hint="eastAsia" w:ascii="宋体" w:hAnsi="宋体" w:eastAsia="宋体"/>
        </w:rPr>
        <w:t>生产</w:t>
      </w:r>
      <w:r>
        <w:rPr>
          <w:rFonts w:ascii="宋体" w:hAnsi="宋体" w:eastAsia="宋体"/>
        </w:rPr>
        <w:t>设备应配备足够的日常维护保养常用零配件和日常工具等。</w:t>
      </w:r>
      <w:bookmarkEnd w:id="91"/>
      <w:bookmarkEnd w:id="92"/>
    </w:p>
    <w:p w14:paraId="5D90A3E0">
      <w:pPr>
        <w:pStyle w:val="56"/>
        <w:outlineLvl w:val="2"/>
        <w:rPr>
          <w:rFonts w:hint="eastAsia" w:ascii="宋体" w:hAnsi="宋体" w:eastAsia="宋体"/>
        </w:rPr>
      </w:pPr>
      <w:bookmarkStart w:id="93" w:name="_Toc195628900"/>
      <w:bookmarkStart w:id="94" w:name="_Toc195806951"/>
      <w:r>
        <w:rPr>
          <w:rFonts w:ascii="宋体" w:hAnsi="宋体" w:eastAsia="宋体"/>
        </w:rPr>
        <w:t>每日班前班后应对生产设备进行有效的清洗和消毒，及时检查设备各部件及紧固情况。</w:t>
      </w:r>
      <w:bookmarkEnd w:id="93"/>
      <w:bookmarkEnd w:id="94"/>
    </w:p>
    <w:p w14:paraId="10EBAA9C">
      <w:pPr>
        <w:widowControl/>
        <w:numPr>
          <w:ilvl w:val="2"/>
          <w:numId w:val="1"/>
        </w:numPr>
        <w:adjustRightInd/>
        <w:spacing w:before="156" w:beforeLines="50" w:after="156" w:afterLines="50" w:line="240" w:lineRule="auto"/>
        <w:outlineLvl w:val="1"/>
        <w:rPr>
          <w:rFonts w:hint="eastAsia" w:ascii="黑体" w:hAnsi="黑体" w:eastAsia="黑体" w:cs="黑体"/>
          <w:kern w:val="0"/>
        </w:rPr>
      </w:pPr>
      <w:bookmarkStart w:id="95" w:name="_Toc277"/>
      <w:bookmarkStart w:id="96" w:name="_Toc19282"/>
      <w:bookmarkStart w:id="97" w:name="_Toc195628908"/>
      <w:r>
        <w:rPr>
          <w:rFonts w:hint="eastAsia" w:ascii="黑体" w:hAnsi="黑体" w:eastAsia="黑体" w:cs="黑体"/>
          <w:kern w:val="0"/>
        </w:rPr>
        <w:t>人员要求</w:t>
      </w:r>
      <w:bookmarkEnd w:id="95"/>
      <w:bookmarkEnd w:id="96"/>
      <w:bookmarkEnd w:id="97"/>
    </w:p>
    <w:p w14:paraId="3BFCDB2B">
      <w:pPr>
        <w:numPr>
          <w:ilvl w:val="3"/>
          <w:numId w:val="1"/>
        </w:numPr>
        <w:adjustRightInd/>
        <w:spacing w:line="240" w:lineRule="auto"/>
        <w:outlineLvl w:val="2"/>
        <w:rPr>
          <w:rFonts w:hint="eastAsia" w:ascii="宋体" w:hAnsi="宋体" w:cs="黑体"/>
          <w:kern w:val="0"/>
        </w:rPr>
      </w:pPr>
      <w:r>
        <w:rPr>
          <w:rFonts w:ascii="宋体" w:hAnsi="宋体" w:cs="黑体"/>
          <w:kern w:val="0"/>
        </w:rPr>
        <w:t>加工人员应符合GB 14881的规定。</w:t>
      </w:r>
    </w:p>
    <w:p w14:paraId="6E70D8CF">
      <w:pPr>
        <w:numPr>
          <w:ilvl w:val="3"/>
          <w:numId w:val="1"/>
        </w:numPr>
        <w:adjustRightInd/>
        <w:spacing w:line="240" w:lineRule="auto"/>
        <w:outlineLvl w:val="2"/>
        <w:rPr>
          <w:rFonts w:hint="eastAsia" w:ascii="宋体" w:hAnsi="宋体" w:cs="黑体"/>
          <w:kern w:val="0"/>
        </w:rPr>
      </w:pPr>
      <w:r>
        <w:rPr>
          <w:rFonts w:ascii="宋体" w:hAnsi="宋体" w:cs="黑体"/>
          <w:kern w:val="0"/>
        </w:rPr>
        <w:t>加工人员上岗前应经过安全操作培训，掌握安全操作技能。</w:t>
      </w:r>
    </w:p>
    <w:p w14:paraId="7A3A7562">
      <w:pPr>
        <w:numPr>
          <w:ilvl w:val="3"/>
          <w:numId w:val="1"/>
        </w:numPr>
        <w:adjustRightInd/>
        <w:spacing w:line="240" w:lineRule="auto"/>
        <w:outlineLvl w:val="2"/>
        <w:rPr>
          <w:rFonts w:hint="eastAsia" w:ascii="宋体" w:hAnsi="宋体" w:cs="黑体"/>
          <w:kern w:val="0"/>
        </w:rPr>
      </w:pPr>
      <w:r>
        <w:rPr>
          <w:rFonts w:ascii="宋体" w:hAnsi="宋体" w:cs="黑体"/>
          <w:kern w:val="0"/>
        </w:rPr>
        <w:t>直接接触产品生产、加工的人员每年应至少进行一次健康体检，必要时做临时健康检查，检查合格后方可上岗。</w:t>
      </w:r>
    </w:p>
    <w:p w14:paraId="2FB617EE">
      <w:pPr>
        <w:numPr>
          <w:ilvl w:val="3"/>
          <w:numId w:val="1"/>
        </w:numPr>
        <w:adjustRightInd/>
        <w:spacing w:line="240" w:lineRule="auto"/>
        <w:outlineLvl w:val="2"/>
        <w:rPr>
          <w:rFonts w:hint="eastAsia" w:ascii="宋体" w:hAnsi="宋体" w:cs="黑体"/>
          <w:kern w:val="0"/>
        </w:rPr>
      </w:pPr>
      <w:r>
        <w:rPr>
          <w:rFonts w:ascii="宋体" w:hAnsi="宋体" w:cs="黑体"/>
          <w:kern w:val="0"/>
        </w:rPr>
        <w:t>直接接触分离后产品的工作人员应保持清洁，应勤洗手、消毒并对衣物进行消毒。</w:t>
      </w:r>
    </w:p>
    <w:p w14:paraId="77C0CB84">
      <w:pPr>
        <w:numPr>
          <w:ilvl w:val="3"/>
          <w:numId w:val="1"/>
        </w:numPr>
        <w:adjustRightInd/>
        <w:spacing w:line="240" w:lineRule="auto"/>
        <w:outlineLvl w:val="2"/>
        <w:rPr>
          <w:rFonts w:hint="eastAsia" w:ascii="宋体" w:hAnsi="宋体" w:cs="Times New Roman"/>
          <w:kern w:val="0"/>
        </w:rPr>
      </w:pPr>
      <w:r>
        <w:rPr>
          <w:rFonts w:ascii="宋体" w:hAnsi="宋体" w:cs="黑体"/>
          <w:kern w:val="0"/>
        </w:rPr>
        <w:t>有以下情况之一</w:t>
      </w:r>
      <w:r>
        <w:rPr>
          <w:rFonts w:ascii="宋体" w:hAnsi="宋体" w:cs="Times New Roman"/>
          <w:kern w:val="0"/>
        </w:rPr>
        <w:t>的人员不应操作分离设备：</w:t>
      </w:r>
    </w:p>
    <w:p w14:paraId="3A4C80CA">
      <w:pPr>
        <w:numPr>
          <w:ilvl w:val="0"/>
          <w:numId w:val="10"/>
        </w:numPr>
        <w:adjustRightInd/>
        <w:spacing w:line="240" w:lineRule="auto"/>
        <w:ind w:left="0" w:firstLine="420" w:firstLineChars="200"/>
        <w:rPr>
          <w:rFonts w:hint="eastAsia" w:ascii="宋体" w:hAnsi="宋体" w:cs="Times New Roman"/>
          <w:kern w:val="0"/>
        </w:rPr>
      </w:pPr>
      <w:r>
        <w:rPr>
          <w:rFonts w:ascii="宋体" w:hAnsi="宋体" w:cs="Times New Roman"/>
          <w:kern w:val="0"/>
        </w:rPr>
        <w:t>未成年人、孕妇和不具备完全行为能力的人；</w:t>
      </w:r>
    </w:p>
    <w:p w14:paraId="23F58659">
      <w:pPr>
        <w:numPr>
          <w:ilvl w:val="0"/>
          <w:numId w:val="10"/>
        </w:numPr>
        <w:adjustRightInd/>
        <w:spacing w:line="240" w:lineRule="auto"/>
        <w:ind w:left="0" w:firstLine="420" w:firstLineChars="200"/>
        <w:rPr>
          <w:rFonts w:hint="eastAsia" w:ascii="宋体" w:hAnsi="宋体" w:cs="Times New Roman"/>
          <w:kern w:val="0"/>
        </w:rPr>
      </w:pPr>
      <w:r>
        <w:rPr>
          <w:rFonts w:ascii="宋体" w:hAnsi="宋体" w:cs="Times New Roman"/>
          <w:kern w:val="0"/>
        </w:rPr>
        <w:t>患传染性疾病人员。</w:t>
      </w:r>
    </w:p>
    <w:p w14:paraId="1D2FCA51">
      <w:pPr>
        <w:numPr>
          <w:ilvl w:val="3"/>
          <w:numId w:val="1"/>
        </w:numPr>
        <w:adjustRightInd/>
        <w:spacing w:line="240" w:lineRule="auto"/>
        <w:outlineLvl w:val="2"/>
        <w:rPr>
          <w:rFonts w:hint="eastAsia" w:ascii="宋体" w:hAnsi="宋体" w:cs="黑体"/>
          <w:kern w:val="0"/>
        </w:rPr>
      </w:pPr>
      <w:r>
        <w:rPr>
          <w:rFonts w:ascii="宋体" w:hAnsi="宋体" w:cs="Times New Roman"/>
          <w:kern w:val="0"/>
        </w:rPr>
        <w:t>作业人员、辅助人员和巡检人员应配备和穿戴劳动防护用具，避免作业伤害。</w:t>
      </w:r>
    </w:p>
    <w:p w14:paraId="4D7151ED">
      <w:pPr>
        <w:pStyle w:val="46"/>
      </w:pPr>
      <w:bookmarkStart w:id="98" w:name="_Toc10820"/>
      <w:bookmarkStart w:id="99" w:name="_Toc32067"/>
      <w:bookmarkStart w:id="100" w:name="_Toc195628909"/>
      <w:r>
        <w:rPr>
          <w:rFonts w:hint="eastAsia"/>
        </w:rPr>
        <w:t>安全技术要求</w:t>
      </w:r>
      <w:bookmarkEnd w:id="98"/>
      <w:bookmarkEnd w:id="99"/>
      <w:bookmarkEnd w:id="100"/>
    </w:p>
    <w:p w14:paraId="0F60DC66">
      <w:pPr>
        <w:widowControl/>
        <w:numPr>
          <w:ilvl w:val="2"/>
          <w:numId w:val="1"/>
        </w:numPr>
        <w:adjustRightInd/>
        <w:spacing w:before="156" w:beforeLines="50" w:after="156" w:afterLines="50" w:line="240" w:lineRule="auto"/>
        <w:outlineLvl w:val="1"/>
        <w:rPr>
          <w:rFonts w:hint="eastAsia" w:ascii="黑体" w:hAnsi="黑体" w:eastAsia="黑体" w:cs="黑体"/>
          <w:kern w:val="0"/>
        </w:rPr>
      </w:pPr>
      <w:bookmarkStart w:id="101" w:name="_Toc195628910"/>
      <w:bookmarkStart w:id="102" w:name="_Toc651"/>
      <w:bookmarkStart w:id="103" w:name="_Toc5578"/>
      <w:r>
        <w:rPr>
          <w:rFonts w:hint="eastAsia" w:ascii="黑体" w:hAnsi="黑体" w:eastAsia="黑体" w:cs="黑体"/>
          <w:kern w:val="0"/>
        </w:rPr>
        <w:t>卫生</w:t>
      </w:r>
      <w:r>
        <w:rPr>
          <w:rFonts w:hint="eastAsia" w:ascii="黑体" w:hAnsi="黑体" w:eastAsia="黑体" w:cs="黑体"/>
          <w:color w:val="0D0D0D"/>
          <w:kern w:val="0"/>
        </w:rPr>
        <w:t>安全</w:t>
      </w:r>
      <w:r>
        <w:rPr>
          <w:rFonts w:hint="eastAsia" w:ascii="黑体" w:hAnsi="黑体" w:eastAsia="黑体" w:cs="黑体"/>
          <w:kern w:val="0"/>
        </w:rPr>
        <w:t>要求</w:t>
      </w:r>
      <w:bookmarkEnd w:id="101"/>
      <w:bookmarkEnd w:id="102"/>
      <w:bookmarkEnd w:id="103"/>
    </w:p>
    <w:p w14:paraId="11F3ECBB">
      <w:pPr>
        <w:widowControl/>
        <w:numPr>
          <w:ilvl w:val="3"/>
          <w:numId w:val="1"/>
        </w:numPr>
        <w:adjustRightInd/>
        <w:spacing w:line="240" w:lineRule="auto"/>
        <w:outlineLvl w:val="2"/>
        <w:rPr>
          <w:rFonts w:hint="eastAsia" w:ascii="宋体" w:hAnsi="宋体" w:cs="黑体"/>
          <w:kern w:val="0"/>
        </w:rPr>
      </w:pPr>
      <w:bookmarkStart w:id="104" w:name="_Toc195628911"/>
      <w:r>
        <w:rPr>
          <w:rFonts w:hint="eastAsia" w:ascii="宋体" w:hAnsi="宋体" w:cs="黑体"/>
          <w:kern w:val="0"/>
        </w:rPr>
        <w:t>生产设备的卫生安全应符合</w:t>
      </w:r>
      <w:r>
        <w:rPr>
          <w:rFonts w:ascii="宋体" w:hAnsi="宋体" w:cs="黑体"/>
          <w:kern w:val="0"/>
        </w:rPr>
        <w:t>GB 5083</w:t>
      </w:r>
      <w:r>
        <w:rPr>
          <w:rFonts w:hint="eastAsia" w:ascii="宋体" w:hAnsi="宋体" w:cs="黑体"/>
          <w:kern w:val="0"/>
        </w:rPr>
        <w:t>的相关规定。</w:t>
      </w:r>
      <w:bookmarkEnd w:id="104"/>
    </w:p>
    <w:p w14:paraId="55CD73D6">
      <w:pPr>
        <w:widowControl/>
        <w:numPr>
          <w:ilvl w:val="3"/>
          <w:numId w:val="1"/>
        </w:numPr>
        <w:adjustRightInd/>
        <w:spacing w:line="240" w:lineRule="auto"/>
        <w:outlineLvl w:val="2"/>
        <w:rPr>
          <w:rFonts w:hint="eastAsia" w:ascii="宋体" w:hAnsi="宋体" w:cs="Times New Roman"/>
          <w:kern w:val="0"/>
        </w:rPr>
      </w:pPr>
      <w:bookmarkStart w:id="105" w:name="_Toc195628912"/>
      <w:r>
        <w:rPr>
          <w:rFonts w:hint="eastAsia" w:ascii="宋体" w:hAnsi="宋体" w:cs="黑体"/>
          <w:kern w:val="0"/>
        </w:rPr>
        <w:t>开机之前，应确保接触产品的设备（如清洗设备、蒸煮设备、速冻设备）和工作服等的表面应符合卫生要求</w:t>
      </w:r>
      <w:r>
        <w:rPr>
          <w:rFonts w:hint="eastAsia" w:ascii="宋体" w:hAnsi="宋体" w:cs="Times New Roman"/>
          <w:kern w:val="0"/>
        </w:rPr>
        <w:t>。</w:t>
      </w:r>
      <w:bookmarkEnd w:id="105"/>
    </w:p>
    <w:p w14:paraId="45E1B188">
      <w:pPr>
        <w:widowControl/>
        <w:numPr>
          <w:ilvl w:val="3"/>
          <w:numId w:val="1"/>
        </w:numPr>
        <w:adjustRightInd/>
        <w:spacing w:line="240" w:lineRule="auto"/>
        <w:outlineLvl w:val="2"/>
        <w:rPr>
          <w:rFonts w:hint="eastAsia" w:ascii="宋体" w:hAnsi="宋体" w:cs="黑体"/>
          <w:kern w:val="0"/>
        </w:rPr>
      </w:pPr>
      <w:bookmarkStart w:id="106" w:name="_Toc195628913"/>
      <w:r>
        <w:rPr>
          <w:rFonts w:hint="eastAsia" w:ascii="宋体" w:hAnsi="宋体" w:cs="黑体"/>
          <w:kern w:val="0"/>
        </w:rPr>
        <w:t>生产设备的安全装置应齐全，功能应正常。</w:t>
      </w:r>
      <w:bookmarkEnd w:id="106"/>
    </w:p>
    <w:p w14:paraId="7E64919C">
      <w:pPr>
        <w:numPr>
          <w:ilvl w:val="3"/>
          <w:numId w:val="1"/>
        </w:numPr>
        <w:adjustRightInd/>
        <w:spacing w:line="240" w:lineRule="auto"/>
        <w:outlineLvl w:val="2"/>
        <w:rPr>
          <w:rFonts w:hint="eastAsia" w:ascii="宋体" w:hAnsi="宋体" w:cs="黑体"/>
          <w:kern w:val="0"/>
        </w:rPr>
      </w:pPr>
      <w:r>
        <w:rPr>
          <w:rFonts w:hint="eastAsia" w:ascii="宋体" w:hAnsi="宋体" w:cs="黑体"/>
          <w:kern w:val="0"/>
        </w:rPr>
        <w:t>车间入口处应设有更衣室，更衣室内应配有足够的更衣柜、鞋架等设施。</w:t>
      </w:r>
    </w:p>
    <w:p w14:paraId="7332FA64">
      <w:pPr>
        <w:numPr>
          <w:ilvl w:val="3"/>
          <w:numId w:val="1"/>
        </w:numPr>
        <w:adjustRightInd/>
        <w:spacing w:line="240" w:lineRule="auto"/>
        <w:outlineLvl w:val="2"/>
        <w:rPr>
          <w:rFonts w:hint="eastAsia" w:ascii="宋体" w:hAnsi="宋体" w:cs="黑体"/>
          <w:kern w:val="0"/>
        </w:rPr>
      </w:pPr>
      <w:r>
        <w:rPr>
          <w:rFonts w:hint="eastAsia" w:ascii="宋体" w:hAnsi="宋体" w:cs="黑体"/>
          <w:kern w:val="0"/>
        </w:rPr>
        <w:t>与车间相连的卫生间内应设有冲水装置和洗手消毒设施，并配有洗涤用品和干手器。卫生间要保持干净卫生，门窗不得直接开向车间。</w:t>
      </w:r>
    </w:p>
    <w:p w14:paraId="05BCBDC0">
      <w:pPr>
        <w:numPr>
          <w:ilvl w:val="3"/>
          <w:numId w:val="1"/>
        </w:numPr>
        <w:adjustRightInd/>
        <w:spacing w:line="240" w:lineRule="auto"/>
        <w:outlineLvl w:val="2"/>
        <w:rPr>
          <w:rFonts w:hint="eastAsia" w:ascii="宋体" w:hAnsi="宋体" w:cs="黑体"/>
          <w:kern w:val="0"/>
        </w:rPr>
      </w:pPr>
      <w:r>
        <w:rPr>
          <w:rFonts w:hint="eastAsia" w:ascii="宋体" w:hAnsi="宋体" w:cs="黑体"/>
          <w:kern w:val="0"/>
        </w:rPr>
        <w:t>进入生产现场的人员的手和与产品接触的部位应清洗消毒</w:t>
      </w:r>
      <w:r>
        <w:rPr>
          <w:rFonts w:hint="eastAsia" w:ascii="宋体" w:hAnsi="宋体" w:cs="Times New Roman"/>
          <w:kern w:val="0"/>
        </w:rPr>
        <w:t>。</w:t>
      </w:r>
    </w:p>
    <w:p w14:paraId="34C8261F">
      <w:pPr>
        <w:numPr>
          <w:ilvl w:val="3"/>
          <w:numId w:val="1"/>
        </w:numPr>
        <w:adjustRightInd/>
        <w:spacing w:line="240" w:lineRule="auto"/>
        <w:outlineLvl w:val="2"/>
        <w:rPr>
          <w:rFonts w:hint="eastAsia" w:ascii="宋体" w:hAnsi="宋体" w:cs="黑体"/>
          <w:kern w:val="0"/>
        </w:rPr>
      </w:pPr>
      <w:r>
        <w:rPr>
          <w:rFonts w:hint="eastAsia" w:ascii="宋体" w:hAnsi="宋体" w:cs="黑体"/>
          <w:kern w:val="0"/>
        </w:rPr>
        <w:t>消毒清洗应彻底，清洗消毒用品、冷凝水、润滑油及其他异物不应对产品造成污染</w:t>
      </w:r>
      <w:r>
        <w:rPr>
          <w:rFonts w:hint="eastAsia" w:ascii="宋体" w:hAnsi="宋体" w:cs="Times New Roman"/>
          <w:kern w:val="0"/>
        </w:rPr>
        <w:t>。</w:t>
      </w:r>
    </w:p>
    <w:p w14:paraId="7D6B5604">
      <w:pPr>
        <w:numPr>
          <w:ilvl w:val="3"/>
          <w:numId w:val="1"/>
        </w:numPr>
        <w:adjustRightInd/>
        <w:spacing w:line="240" w:lineRule="auto"/>
        <w:outlineLvl w:val="2"/>
        <w:rPr>
          <w:rFonts w:hint="eastAsia" w:ascii="宋体" w:hAnsi="宋体" w:cs="黑体"/>
          <w:kern w:val="0"/>
        </w:rPr>
      </w:pPr>
      <w:r>
        <w:rPr>
          <w:rFonts w:hint="eastAsia" w:ascii="宋体" w:hAnsi="宋体" w:cs="黑体"/>
          <w:kern w:val="0"/>
        </w:rPr>
        <w:t>清洗消毒的控制应满足以下要求：</w:t>
      </w:r>
    </w:p>
    <w:p w14:paraId="19CFC0BB">
      <w:pPr>
        <w:widowControl/>
        <w:numPr>
          <w:ilvl w:val="0"/>
          <w:numId w:val="11"/>
        </w:numPr>
        <w:adjustRightInd/>
        <w:spacing w:line="240" w:lineRule="auto"/>
        <w:ind w:firstLine="420" w:firstLineChars="200"/>
        <w:rPr>
          <w:rFonts w:hint="eastAsia" w:ascii="宋体" w:hAnsi="宋体" w:cs="黑体"/>
          <w:kern w:val="0"/>
        </w:rPr>
      </w:pPr>
      <w:bookmarkStart w:id="107" w:name="_Toc195628914"/>
      <w:r>
        <w:rPr>
          <w:rFonts w:hint="eastAsia" w:ascii="宋体" w:hAnsi="宋体" w:cs="黑体"/>
          <w:kern w:val="0"/>
        </w:rPr>
        <w:t>清洗剂、消毒剂的使用应符合</w:t>
      </w:r>
      <w:r>
        <w:rPr>
          <w:rFonts w:ascii="宋体" w:hAnsi="宋体" w:cs="黑体"/>
          <w:kern w:val="0"/>
        </w:rPr>
        <w:t>GB 14930.1</w:t>
      </w:r>
      <w:r>
        <w:rPr>
          <w:rFonts w:hint="eastAsia" w:ascii="宋体" w:hAnsi="宋体" w:cs="黑体"/>
          <w:kern w:val="0"/>
        </w:rPr>
        <w:t>和</w:t>
      </w:r>
      <w:r>
        <w:rPr>
          <w:rFonts w:ascii="宋体" w:hAnsi="宋体" w:cs="黑体"/>
          <w:kern w:val="0"/>
        </w:rPr>
        <w:t>GB 14930.2</w:t>
      </w:r>
      <w:r>
        <w:rPr>
          <w:rFonts w:hint="eastAsia" w:ascii="宋体" w:hAnsi="宋体" w:cs="黑体"/>
          <w:kern w:val="0"/>
        </w:rPr>
        <w:t>的规定；</w:t>
      </w:r>
      <w:bookmarkEnd w:id="107"/>
    </w:p>
    <w:p w14:paraId="5221815A">
      <w:pPr>
        <w:widowControl/>
        <w:numPr>
          <w:ilvl w:val="0"/>
          <w:numId w:val="11"/>
        </w:numPr>
        <w:adjustRightInd/>
        <w:spacing w:line="240" w:lineRule="auto"/>
        <w:ind w:firstLine="420" w:firstLineChars="200"/>
        <w:rPr>
          <w:rFonts w:hint="eastAsia" w:ascii="宋体" w:hAnsi="宋体" w:cs="黑体"/>
          <w:kern w:val="0"/>
        </w:rPr>
      </w:pPr>
      <w:bookmarkStart w:id="108" w:name="_Toc195628915"/>
      <w:r>
        <w:rPr>
          <w:rFonts w:hint="eastAsia" w:ascii="宋体" w:hAnsi="宋体" w:cs="黑体"/>
          <w:kern w:val="0"/>
        </w:rPr>
        <w:t>清洁消毒制度应包括以下内容：清洁消毒的区域、设备或器具名称；清洁消毒工作的职责；使用的洗涤剂、消毒剂；清洁消毒方法和频率；清洁消毒效果的验证及不符合的处理；清洁消毒工作及监控记录。应确保实施清洁消毒制度，如实记录；及时验证消毒效果，发现问题及时纠正。</w:t>
      </w:r>
      <w:bookmarkEnd w:id="108"/>
    </w:p>
    <w:p w14:paraId="6A6C351B">
      <w:pPr>
        <w:widowControl/>
        <w:numPr>
          <w:ilvl w:val="0"/>
          <w:numId w:val="11"/>
        </w:numPr>
        <w:adjustRightInd/>
        <w:spacing w:line="240" w:lineRule="auto"/>
        <w:ind w:firstLine="420" w:firstLineChars="200"/>
        <w:rPr>
          <w:rFonts w:hint="eastAsia" w:ascii="宋体" w:hAnsi="宋体" w:cs="宋体"/>
          <w:kern w:val="0"/>
        </w:rPr>
      </w:pPr>
      <w:bookmarkStart w:id="109" w:name="_Toc195628916"/>
      <w:r>
        <w:rPr>
          <w:rFonts w:hint="eastAsia" w:ascii="宋体" w:hAnsi="宋体" w:cs="宋体"/>
          <w:kern w:val="0"/>
        </w:rPr>
        <w:t>车间应配备专用的清洗消毒工具，定期对场地、工具、容器等进行清洗消毒。</w:t>
      </w:r>
      <w:bookmarkEnd w:id="109"/>
    </w:p>
    <w:p w14:paraId="543E3DBA">
      <w:pPr>
        <w:widowControl/>
        <w:numPr>
          <w:ilvl w:val="2"/>
          <w:numId w:val="1"/>
        </w:numPr>
        <w:adjustRightInd/>
        <w:spacing w:before="156" w:beforeLines="50" w:after="156" w:afterLines="50" w:line="240" w:lineRule="auto"/>
        <w:outlineLvl w:val="1"/>
        <w:rPr>
          <w:rFonts w:hint="eastAsia" w:ascii="黑体" w:hAnsi="黑体" w:eastAsia="黑体" w:cs="黑体"/>
          <w:kern w:val="0"/>
        </w:rPr>
      </w:pPr>
      <w:bookmarkStart w:id="110" w:name="_Toc3824"/>
      <w:bookmarkStart w:id="111" w:name="_Toc195628917"/>
      <w:bookmarkStart w:id="112" w:name="_Toc26765"/>
      <w:r>
        <w:rPr>
          <w:rFonts w:hint="eastAsia" w:ascii="黑体" w:hAnsi="黑体" w:eastAsia="黑体" w:cs="黑体"/>
          <w:kern w:val="0"/>
        </w:rPr>
        <w:t>操作安全要求</w:t>
      </w:r>
      <w:bookmarkEnd w:id="110"/>
      <w:bookmarkEnd w:id="111"/>
      <w:bookmarkEnd w:id="112"/>
    </w:p>
    <w:p w14:paraId="72D2D824">
      <w:pPr>
        <w:widowControl/>
        <w:numPr>
          <w:ilvl w:val="3"/>
          <w:numId w:val="1"/>
        </w:numPr>
        <w:adjustRightInd/>
        <w:spacing w:line="240" w:lineRule="auto"/>
        <w:outlineLvl w:val="2"/>
        <w:rPr>
          <w:rFonts w:hint="eastAsia" w:ascii="宋体" w:hAnsi="宋体" w:cs="黑体"/>
          <w:kern w:val="0"/>
        </w:rPr>
      </w:pPr>
      <w:bookmarkStart w:id="113" w:name="_Toc195628918"/>
      <w:r>
        <w:rPr>
          <w:rFonts w:hint="eastAsia" w:ascii="宋体" w:hAnsi="宋体" w:cs="黑体"/>
          <w:kern w:val="0"/>
        </w:rPr>
        <w:t>作业人员不应疲劳作业，每天连续工作时长不应超过</w:t>
      </w:r>
      <w:r>
        <w:rPr>
          <w:rFonts w:ascii="宋体" w:hAnsi="宋体" w:cs="黑体"/>
          <w:kern w:val="0"/>
        </w:rPr>
        <w:t>8 h</w:t>
      </w:r>
      <w:r>
        <w:rPr>
          <w:rFonts w:hint="eastAsia" w:ascii="宋体" w:hAnsi="宋体" w:cs="Times New Roman"/>
          <w:kern w:val="0"/>
        </w:rPr>
        <w:t>。</w:t>
      </w:r>
      <w:bookmarkEnd w:id="113"/>
    </w:p>
    <w:p w14:paraId="1DBAD989">
      <w:pPr>
        <w:widowControl/>
        <w:numPr>
          <w:ilvl w:val="3"/>
          <w:numId w:val="1"/>
        </w:numPr>
        <w:adjustRightInd/>
        <w:spacing w:line="240" w:lineRule="auto"/>
        <w:outlineLvl w:val="2"/>
        <w:rPr>
          <w:rFonts w:hint="eastAsia" w:ascii="宋体" w:hAnsi="宋体" w:cs="黑体"/>
          <w:kern w:val="0"/>
        </w:rPr>
      </w:pPr>
      <w:bookmarkStart w:id="114" w:name="_Toc195628919"/>
      <w:r>
        <w:rPr>
          <w:rFonts w:hint="eastAsia" w:ascii="宋体" w:hAnsi="宋体" w:cs="黑体"/>
          <w:kern w:val="0"/>
        </w:rPr>
        <w:t>加工设备运转时，严禁工作人员擅自离岗、串岗。若工作过程中出现异常情况，应先关闭电源，再进行相应操作</w:t>
      </w:r>
      <w:r>
        <w:rPr>
          <w:rFonts w:hint="eastAsia" w:ascii="宋体" w:hAnsi="宋体" w:cs="Times New Roman"/>
          <w:kern w:val="0"/>
        </w:rPr>
        <w:t>。</w:t>
      </w:r>
      <w:bookmarkEnd w:id="114"/>
    </w:p>
    <w:p w14:paraId="24382B5F">
      <w:pPr>
        <w:widowControl/>
        <w:numPr>
          <w:ilvl w:val="3"/>
          <w:numId w:val="1"/>
        </w:numPr>
        <w:adjustRightInd/>
        <w:spacing w:line="240" w:lineRule="auto"/>
        <w:outlineLvl w:val="2"/>
        <w:rPr>
          <w:rFonts w:hint="eastAsia" w:ascii="宋体" w:hAnsi="宋体" w:cs="Times New Roman"/>
          <w:kern w:val="0"/>
        </w:rPr>
      </w:pPr>
      <w:bookmarkStart w:id="115" w:name="_Toc195628920"/>
      <w:r>
        <w:rPr>
          <w:rFonts w:hint="eastAsia" w:ascii="宋体" w:hAnsi="宋体" w:cs="黑体"/>
          <w:kern w:val="0"/>
        </w:rPr>
        <w:t>加工设备工作结束后应及时断开电源开关，清理分离设备内外。清理过程中不应用水冲洗电器部分，防止触电和电器受潮烧毁。</w:t>
      </w:r>
      <w:bookmarkEnd w:id="115"/>
    </w:p>
    <w:p w14:paraId="19E4A3BF">
      <w:pPr>
        <w:widowControl/>
        <w:numPr>
          <w:ilvl w:val="3"/>
          <w:numId w:val="1"/>
        </w:numPr>
        <w:adjustRightInd/>
        <w:spacing w:line="240" w:lineRule="auto"/>
        <w:outlineLvl w:val="2"/>
        <w:rPr>
          <w:rFonts w:hint="eastAsia" w:ascii="宋体" w:hAnsi="宋体" w:cs="Times New Roman"/>
          <w:kern w:val="0"/>
        </w:rPr>
      </w:pPr>
      <w:bookmarkStart w:id="116" w:name="_Toc195628921"/>
      <w:r>
        <w:rPr>
          <w:rFonts w:hint="eastAsia" w:ascii="宋体" w:hAnsi="宋体" w:cs="黑体"/>
          <w:kern w:val="0"/>
        </w:rPr>
        <w:t>检查、维修、更换相关零部件时应停机</w:t>
      </w:r>
      <w:r>
        <w:rPr>
          <w:rFonts w:hint="eastAsia" w:ascii="宋体" w:hAnsi="宋体" w:cs="Times New Roman"/>
          <w:kern w:val="0"/>
        </w:rPr>
        <w:t>。</w:t>
      </w:r>
      <w:bookmarkEnd w:id="116"/>
    </w:p>
    <w:p w14:paraId="736A8DC2">
      <w:pPr>
        <w:pStyle w:val="46"/>
      </w:pPr>
      <w:bookmarkStart w:id="117" w:name="_Toc16245"/>
      <w:bookmarkStart w:id="118" w:name="_Toc23934"/>
      <w:r>
        <w:rPr>
          <w:rFonts w:hint="eastAsia"/>
        </w:rPr>
        <w:t>加工技术要求</w:t>
      </w:r>
      <w:bookmarkEnd w:id="117"/>
      <w:bookmarkEnd w:id="118"/>
    </w:p>
    <w:p w14:paraId="59CD2E3B">
      <w:pPr>
        <w:pStyle w:val="59"/>
        <w:spacing w:before="156" w:beforeLines="50" w:after="156" w:afterLines="50"/>
        <w:rPr>
          <w:rFonts w:hint="eastAsia" w:hAnsi="黑体" w:cs="黑体"/>
        </w:rPr>
      </w:pPr>
      <w:bookmarkStart w:id="119" w:name="_Toc32069"/>
      <w:bookmarkStart w:id="120" w:name="_Toc24486"/>
      <w:r>
        <w:rPr>
          <w:rFonts w:hint="eastAsia" w:hAnsi="黑体" w:cs="黑体"/>
        </w:rPr>
        <w:t>加工工艺流程</w:t>
      </w:r>
      <w:bookmarkEnd w:id="119"/>
      <w:bookmarkEnd w:id="120"/>
    </w:p>
    <w:p w14:paraId="2F7376DC">
      <w:pPr>
        <w:pStyle w:val="49"/>
        <w:rPr>
          <w:rFonts w:hint="eastAsia" w:ascii="宋体" w:hAnsi="宋体" w:cs="宋体"/>
          <w:strike/>
        </w:rPr>
      </w:pPr>
      <w:r>
        <w:rPr>
          <w:rFonts w:hint="eastAsia" w:ascii="宋体" w:hAnsi="宋体" w:cs="宋体"/>
        </w:rPr>
        <w:t>原料→剥皮→切头切尾→清洗→蒸煮→冷却沥干→速冻→冷藏。</w:t>
      </w:r>
    </w:p>
    <w:p w14:paraId="7BA39F33">
      <w:pPr>
        <w:pStyle w:val="63"/>
        <w:rPr>
          <w:rFonts w:hint="eastAsia" w:ascii="黑体" w:hAnsi="黑体" w:cs="黑体"/>
        </w:rPr>
      </w:pPr>
      <w:bookmarkStart w:id="121" w:name="_Toc195806958"/>
      <w:bookmarkEnd w:id="121"/>
      <w:bookmarkStart w:id="122" w:name="_Toc4418"/>
      <w:bookmarkStart w:id="123" w:name="_Toc3916"/>
      <w:r>
        <w:rPr>
          <w:rFonts w:hint="eastAsia" w:ascii="黑体" w:hAnsi="黑体" w:cs="黑体"/>
        </w:rPr>
        <w:t>工艺要求</w:t>
      </w:r>
      <w:bookmarkEnd w:id="122"/>
      <w:bookmarkEnd w:id="123"/>
    </w:p>
    <w:p w14:paraId="4F1F5A18">
      <w:pPr>
        <w:pStyle w:val="55"/>
        <w:spacing w:before="120" w:after="120"/>
        <w:rPr>
          <w:rFonts w:hint="eastAsia" w:hAnsi="黑体"/>
        </w:rPr>
      </w:pPr>
      <w:r>
        <w:rPr>
          <w:rFonts w:hint="eastAsia" w:hAnsi="黑体"/>
        </w:rPr>
        <w:t>剥皮</w:t>
      </w:r>
    </w:p>
    <w:p w14:paraId="00D01A39">
      <w:pPr>
        <w:pStyle w:val="49"/>
        <w:tabs>
          <w:tab w:val="center" w:pos="4201"/>
          <w:tab w:val="right" w:leader="dot" w:pos="9298"/>
        </w:tabs>
        <w:rPr>
          <w:rFonts w:hint="eastAsia" w:ascii="宋体" w:hAnsi="宋体" w:cs="宋体"/>
        </w:rPr>
      </w:pPr>
      <w:r>
        <w:rPr>
          <w:rFonts w:hint="eastAsia" w:ascii="宋体" w:hAnsi="宋体" w:cs="宋体"/>
        </w:rPr>
        <w:t>采用剥皮机去除玉米穗柄、苞叶和花丝，过程中不应伤及玉米籽粒，在采摘后1 h～4 h内完成。已剥皮但尚未加工的玉米穗必须用无毒、卫生、无异味、不损伤籽粒的容器盛放。</w:t>
      </w:r>
    </w:p>
    <w:p w14:paraId="4A8AA578">
      <w:pPr>
        <w:pStyle w:val="72"/>
        <w:numPr>
          <w:ilvl w:val="3"/>
          <w:numId w:val="1"/>
        </w:numPr>
        <w:spacing w:before="120" w:beforeLines="0" w:after="120" w:afterLines="0"/>
        <w:rPr>
          <w:rFonts w:hint="eastAsia" w:ascii="黑体" w:hAnsi="黑体"/>
        </w:rPr>
      </w:pPr>
      <w:r>
        <w:rPr>
          <w:rFonts w:hint="eastAsia" w:ascii="黑体" w:hAnsi="黑体"/>
        </w:rPr>
        <w:t>切头切尾</w:t>
      </w:r>
    </w:p>
    <w:p w14:paraId="43FABF3E">
      <w:pPr>
        <w:pStyle w:val="49"/>
        <w:tabs>
          <w:tab w:val="center" w:pos="4201"/>
          <w:tab w:val="right" w:leader="dot" w:pos="9298"/>
        </w:tabs>
        <w:rPr>
          <w:rFonts w:hint="eastAsia" w:ascii="宋体" w:hAnsi="宋体" w:cs="宋体"/>
        </w:rPr>
      </w:pPr>
      <w:r>
        <w:rPr>
          <w:rFonts w:hint="eastAsia" w:ascii="宋体" w:hAnsi="宋体" w:cs="宋体"/>
        </w:rPr>
        <w:t>采用切头切尾机</w:t>
      </w:r>
      <w:r>
        <w:rPr>
          <w:rFonts w:hint="eastAsia" w:ascii="宋体" w:hAnsi="宋体" w:cs="宋体"/>
          <w:kern w:val="0"/>
        </w:rPr>
        <w:t>切除玉米穗头部2 cm～3 cm和尾部1 cm～2 cm。应保证切面平整，除切碎的籽粒外，刀口周围籽粒不应有压碎籽粒</w:t>
      </w:r>
      <w:r>
        <w:rPr>
          <w:rFonts w:hint="eastAsia" w:ascii="宋体" w:hAnsi="宋体" w:cs="宋体"/>
        </w:rPr>
        <w:t>。</w:t>
      </w:r>
    </w:p>
    <w:p w14:paraId="058779E1">
      <w:pPr>
        <w:pStyle w:val="72"/>
        <w:numPr>
          <w:ilvl w:val="3"/>
          <w:numId w:val="1"/>
        </w:numPr>
        <w:spacing w:before="120" w:beforeLines="0" w:after="120" w:afterLines="0"/>
        <w:rPr>
          <w:rFonts w:hint="eastAsia" w:ascii="黑体" w:hAnsi="黑体"/>
        </w:rPr>
      </w:pPr>
      <w:r>
        <w:rPr>
          <w:rFonts w:ascii="黑体" w:hAnsi="黑体"/>
        </w:rPr>
        <w:t>清洗</w:t>
      </w:r>
    </w:p>
    <w:p w14:paraId="395B63BD">
      <w:pPr>
        <w:pStyle w:val="49"/>
        <w:tabs>
          <w:tab w:val="center" w:pos="4201"/>
          <w:tab w:val="right" w:leader="dot" w:pos="9298"/>
        </w:tabs>
        <w:rPr>
          <w:rFonts w:hint="eastAsia" w:ascii="宋体" w:hAnsi="宋体" w:cs="宋体"/>
        </w:rPr>
      </w:pPr>
      <w:r>
        <w:rPr>
          <w:rFonts w:hint="eastAsia" w:ascii="宋体" w:hAnsi="宋体" w:cs="宋体"/>
        </w:rPr>
        <w:t>用清洗机对玉米穗进行清洗，清洗后玉米穗表面不应有苞叶、花丝及其他杂质。</w:t>
      </w:r>
    </w:p>
    <w:p w14:paraId="020E0994">
      <w:pPr>
        <w:pStyle w:val="72"/>
        <w:numPr>
          <w:ilvl w:val="3"/>
          <w:numId w:val="1"/>
        </w:numPr>
        <w:spacing w:before="120" w:beforeLines="0" w:after="120" w:afterLines="0"/>
        <w:rPr>
          <w:rFonts w:hint="eastAsia" w:ascii="黑体" w:hAnsi="黑体"/>
        </w:rPr>
      </w:pPr>
      <w:r>
        <w:rPr>
          <w:rFonts w:hint="eastAsia" w:ascii="黑体" w:hAnsi="黑体"/>
        </w:rPr>
        <w:t>蒸煮</w:t>
      </w:r>
    </w:p>
    <w:p w14:paraId="6F9223EA">
      <w:pPr>
        <w:pStyle w:val="49"/>
        <w:tabs>
          <w:tab w:val="center" w:pos="4201"/>
          <w:tab w:val="right" w:leader="dot" w:pos="9298"/>
        </w:tabs>
        <w:rPr>
          <w:rFonts w:hint="eastAsia" w:ascii="宋体" w:hAnsi="宋体" w:cs="宋体"/>
        </w:rPr>
      </w:pPr>
      <w:r>
        <w:rPr>
          <w:rFonts w:hint="eastAsia" w:ascii="宋体" w:hAnsi="宋体" w:cs="宋体"/>
          <w:kern w:val="0"/>
        </w:rPr>
        <w:t>将玉米穗放入沸水或者用蒸汽直接加热蒸煮，使玉米穗的中心温度达到90 ℃以上。根据玉米品种，蒸煮时间为8 min～20 min</w:t>
      </w:r>
      <w:r>
        <w:rPr>
          <w:rFonts w:hint="eastAsia" w:ascii="宋体" w:hAnsi="宋体" w:cs="宋体"/>
        </w:rPr>
        <w:t>。</w:t>
      </w:r>
    </w:p>
    <w:p w14:paraId="5478CE35">
      <w:pPr>
        <w:pStyle w:val="72"/>
        <w:numPr>
          <w:ilvl w:val="3"/>
          <w:numId w:val="1"/>
        </w:numPr>
        <w:spacing w:before="120" w:beforeLines="0" w:after="120" w:afterLines="0"/>
        <w:rPr>
          <w:rFonts w:hint="eastAsia" w:ascii="黑体" w:hAnsi="黑体"/>
        </w:rPr>
      </w:pPr>
      <w:r>
        <w:rPr>
          <w:rFonts w:hint="eastAsia" w:ascii="黑体" w:hAnsi="黑体"/>
        </w:rPr>
        <w:t>冷却沥干</w:t>
      </w:r>
    </w:p>
    <w:p w14:paraId="398B9DF2">
      <w:pPr>
        <w:pStyle w:val="49"/>
        <w:tabs>
          <w:tab w:val="center" w:pos="4201"/>
          <w:tab w:val="right" w:leader="dot" w:pos="9298"/>
        </w:tabs>
        <w:rPr>
          <w:rFonts w:hint="eastAsia" w:ascii="宋体" w:hAnsi="宋体" w:cs="宋体"/>
          <w:kern w:val="0"/>
        </w:rPr>
      </w:pPr>
      <w:r>
        <w:rPr>
          <w:rFonts w:hint="eastAsia" w:ascii="宋体" w:hAnsi="宋体" w:cs="宋体"/>
          <w:kern w:val="0"/>
        </w:rPr>
        <w:t>采用0 ℃～5 ℃冷水喷淋蒸煮后的玉米穗，使其表面温度快速冷却到50 ℃以下。通过-5 ℃风冷预冷生产线冷却5 min～15 min，并沥干玉米穗表面水分，使玉米穗中心温度降至30 ℃以下，表面温度降低至10 ℃以下。</w:t>
      </w:r>
    </w:p>
    <w:p w14:paraId="3C372CD3">
      <w:pPr>
        <w:pStyle w:val="72"/>
        <w:numPr>
          <w:ilvl w:val="3"/>
          <w:numId w:val="1"/>
        </w:numPr>
        <w:spacing w:before="120" w:beforeLines="0" w:after="120" w:afterLines="0"/>
        <w:rPr>
          <w:rFonts w:hint="eastAsia" w:ascii="黑体" w:hAnsi="黑体"/>
        </w:rPr>
      </w:pPr>
      <w:r>
        <w:rPr>
          <w:rFonts w:hint="eastAsia" w:ascii="黑体" w:hAnsi="黑体"/>
        </w:rPr>
        <w:t>速冻</w:t>
      </w:r>
    </w:p>
    <w:p w14:paraId="2BBF6150">
      <w:pPr>
        <w:pStyle w:val="49"/>
        <w:tabs>
          <w:tab w:val="center" w:pos="4201"/>
          <w:tab w:val="right" w:leader="dot" w:pos="9298"/>
        </w:tabs>
        <w:rPr>
          <w:rFonts w:hint="eastAsia" w:ascii="宋体" w:hAnsi="宋体" w:cs="宋体"/>
        </w:rPr>
      </w:pPr>
      <w:r>
        <w:rPr>
          <w:rFonts w:hint="eastAsia" w:ascii="宋体" w:hAnsi="宋体" w:cs="宋体"/>
          <w:kern w:val="0"/>
        </w:rPr>
        <w:t>通过速冻生产线冷冻15 min</w:t>
      </w:r>
      <w:r>
        <w:rPr>
          <w:rFonts w:hint="eastAsia" w:ascii="宋体" w:hAnsi="宋体" w:cs="宋体"/>
          <w:color w:val="000000"/>
          <w:kern w:val="0"/>
        </w:rPr>
        <w:t>～</w:t>
      </w:r>
      <w:r>
        <w:rPr>
          <w:rFonts w:hint="eastAsia" w:ascii="宋体" w:hAnsi="宋体" w:cs="宋体"/>
          <w:kern w:val="0"/>
        </w:rPr>
        <w:t>30 min，使玉米穗中心温度降至-18 ℃以下。速冻隧道速冻温度为-30 ℃以下，玉米穗热稳定后的热中心温度低于-18 ℃时，速冻完成</w:t>
      </w:r>
      <w:r>
        <w:rPr>
          <w:rFonts w:hint="eastAsia" w:ascii="宋体" w:hAnsi="宋体" w:cs="宋体"/>
        </w:rPr>
        <w:t>。</w:t>
      </w:r>
    </w:p>
    <w:p w14:paraId="6804F88D">
      <w:pPr>
        <w:pStyle w:val="63"/>
        <w:rPr>
          <w:rFonts w:hint="eastAsia" w:ascii="黑体" w:hAnsi="黑体" w:cs="黑体"/>
        </w:rPr>
      </w:pPr>
      <w:bookmarkStart w:id="124" w:name="_Toc791"/>
      <w:bookmarkStart w:id="125" w:name="_Toc2579"/>
      <w:bookmarkStart w:id="126" w:name="_Toc3897"/>
      <w:r>
        <w:rPr>
          <w:rFonts w:hint="eastAsia" w:ascii="黑体" w:hAnsi="黑体" w:cs="黑体"/>
        </w:rPr>
        <w:t>金属探测</w:t>
      </w:r>
      <w:bookmarkEnd w:id="124"/>
      <w:bookmarkEnd w:id="125"/>
      <w:bookmarkEnd w:id="126"/>
    </w:p>
    <w:p w14:paraId="21C025CC">
      <w:pPr>
        <w:widowControl/>
        <w:adjustRightInd/>
        <w:spacing w:line="240" w:lineRule="auto"/>
        <w:ind w:firstLine="420" w:firstLineChars="200"/>
        <w:rPr>
          <w:rFonts w:hint="eastAsia" w:ascii="宋体" w:hAnsi="宋体" w:cs="宋体"/>
        </w:rPr>
      </w:pPr>
      <w:r>
        <w:rPr>
          <w:rFonts w:hint="eastAsia" w:ascii="宋体" w:hAnsi="宋体" w:cs="宋体"/>
        </w:rPr>
        <w:t>装箱前应对产品进行金属探测器检测。当检测到含有金属的产品时，应进行标识另行处理，并查明金属来源。</w:t>
      </w:r>
    </w:p>
    <w:p w14:paraId="6376BE27">
      <w:pPr>
        <w:pStyle w:val="46"/>
        <w:rPr>
          <w:rFonts w:eastAsia="宋体" w:cs="Times New Roman"/>
        </w:rPr>
      </w:pPr>
      <w:bookmarkStart w:id="127" w:name="_Toc14430"/>
      <w:bookmarkStart w:id="128" w:name="_Toc8721"/>
      <w:r>
        <w:rPr>
          <w:rFonts w:hint="eastAsia" w:cs="Times New Roman"/>
        </w:rPr>
        <w:t>产品要求</w:t>
      </w:r>
      <w:bookmarkEnd w:id="127"/>
      <w:bookmarkEnd w:id="128"/>
    </w:p>
    <w:p w14:paraId="5D69BD1A">
      <w:pPr>
        <w:pStyle w:val="63"/>
        <w:rPr>
          <w:rFonts w:hint="eastAsia" w:ascii="黑体" w:hAnsi="黑体" w:cs="黑体"/>
        </w:rPr>
      </w:pPr>
      <w:bookmarkStart w:id="129" w:name="_Toc3684"/>
      <w:bookmarkStart w:id="130" w:name="_Toc32267"/>
      <w:r>
        <w:rPr>
          <w:rFonts w:hint="eastAsia" w:ascii="黑体" w:hAnsi="黑体" w:cs="黑体"/>
        </w:rPr>
        <w:t>感官要求</w:t>
      </w:r>
      <w:bookmarkEnd w:id="129"/>
      <w:bookmarkEnd w:id="130"/>
    </w:p>
    <w:p w14:paraId="3C886D9B">
      <w:pPr>
        <w:spacing w:line="240" w:lineRule="auto"/>
        <w:ind w:firstLine="420" w:firstLineChars="200"/>
        <w:rPr>
          <w:rFonts w:hint="eastAsia" w:ascii="宋体" w:hAnsi="宋体" w:cs="宋体"/>
        </w:rPr>
      </w:pPr>
      <w:r>
        <w:rPr>
          <w:rFonts w:hint="eastAsia" w:ascii="宋体" w:hAnsi="宋体" w:cs="宋体"/>
        </w:rPr>
        <w:t>速冻鲜食玉米感官要求应符合表1的规定。</w:t>
      </w:r>
    </w:p>
    <w:p w14:paraId="58E1A102">
      <w:pPr>
        <w:pStyle w:val="11"/>
        <w:spacing w:before="156" w:beforeLines="50" w:after="156" w:afterLines="50" w:line="240" w:lineRule="auto"/>
        <w:jc w:val="center"/>
        <w:rPr>
          <w:rFonts w:hint="eastAsia" w:ascii="黑体" w:hAnsi="黑体"/>
          <w:sz w:val="21"/>
          <w:szCs w:val="21"/>
        </w:rPr>
      </w:pPr>
      <w:r>
        <w:rPr>
          <w:rFonts w:hint="eastAsia" w:ascii="黑体" w:hAnsi="黑体"/>
          <w:sz w:val="21"/>
          <w:szCs w:val="21"/>
        </w:rPr>
        <w:t xml:space="preserve">表 </w:t>
      </w:r>
      <w:r>
        <w:rPr>
          <w:rFonts w:hint="eastAsia" w:ascii="黑体" w:hAnsi="黑体"/>
          <w:sz w:val="21"/>
          <w:szCs w:val="21"/>
        </w:rPr>
        <w:fldChar w:fldCharType="begin"/>
      </w:r>
      <w:r>
        <w:rPr>
          <w:rFonts w:hint="eastAsia" w:ascii="黑体" w:hAnsi="黑体"/>
          <w:sz w:val="21"/>
          <w:szCs w:val="21"/>
        </w:rPr>
        <w:instrText xml:space="preserve"> SEQ 表 \* ARABIC </w:instrText>
      </w:r>
      <w:r>
        <w:rPr>
          <w:rFonts w:hint="eastAsia" w:ascii="黑体" w:hAnsi="黑体"/>
          <w:sz w:val="21"/>
          <w:szCs w:val="21"/>
        </w:rPr>
        <w:fldChar w:fldCharType="separate"/>
      </w:r>
      <w:r>
        <w:rPr>
          <w:rFonts w:hint="eastAsia" w:ascii="黑体" w:hAnsi="黑体"/>
          <w:sz w:val="21"/>
          <w:szCs w:val="21"/>
        </w:rPr>
        <w:t>1</w:t>
      </w:r>
      <w:r>
        <w:rPr>
          <w:rFonts w:hint="eastAsia" w:ascii="黑体" w:hAnsi="黑体"/>
          <w:sz w:val="21"/>
          <w:szCs w:val="21"/>
        </w:rPr>
        <w:fldChar w:fldCharType="end"/>
      </w:r>
      <w:bookmarkStart w:id="131" w:name="_Toc27357"/>
      <w:bookmarkStart w:id="132" w:name="_Toc27177"/>
      <w:r>
        <w:rPr>
          <w:rFonts w:hint="eastAsia" w:ascii="黑体" w:hAnsi="黑体"/>
          <w:sz w:val="21"/>
          <w:szCs w:val="21"/>
        </w:rPr>
        <w:t xml:space="preserve"> 感官要求</w:t>
      </w:r>
      <w:bookmarkEnd w:id="131"/>
      <w:bookmarkEnd w:id="132"/>
    </w:p>
    <w:tbl>
      <w:tblPr>
        <w:tblStyle w:val="26"/>
        <w:tblW w:w="8242" w:type="dxa"/>
        <w:jc w:val="center"/>
        <w:tblLayout w:type="autofit"/>
        <w:tblCellMar>
          <w:top w:w="15" w:type="dxa"/>
          <w:left w:w="15" w:type="dxa"/>
          <w:bottom w:w="15" w:type="dxa"/>
          <w:right w:w="15" w:type="dxa"/>
        </w:tblCellMar>
      </w:tblPr>
      <w:tblGrid>
        <w:gridCol w:w="1623"/>
        <w:gridCol w:w="6619"/>
      </w:tblGrid>
      <w:tr w14:paraId="49E28C7E">
        <w:tblPrEx>
          <w:tblCellMar>
            <w:top w:w="15" w:type="dxa"/>
            <w:left w:w="15" w:type="dxa"/>
            <w:bottom w:w="15" w:type="dxa"/>
            <w:right w:w="15" w:type="dxa"/>
          </w:tblCellMar>
        </w:tblPrEx>
        <w:trPr>
          <w:trHeight w:val="312" w:hRule="atLeast"/>
          <w:jc w:val="center"/>
        </w:trPr>
        <w:tc>
          <w:tcPr>
            <w:tcW w:w="1623" w:type="dxa"/>
            <w:tcBorders>
              <w:top w:val="single" w:color="000000"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62EAB16D">
            <w:pPr>
              <w:pStyle w:val="49"/>
              <w:widowControl/>
              <w:tabs>
                <w:tab w:val="center" w:pos="4201"/>
                <w:tab w:val="right" w:leader="dot" w:pos="9298"/>
              </w:tabs>
              <w:autoSpaceDE w:val="0"/>
              <w:autoSpaceDN w:val="0"/>
              <w:adjustRightInd/>
              <w:ind w:firstLine="0" w:firstLineChars="0"/>
              <w:jc w:val="center"/>
              <w:rPr>
                <w:rFonts w:hint="eastAsia" w:ascii="宋体" w:hAnsi="宋体" w:cs="宋体"/>
                <w:sz w:val="18"/>
                <w:szCs w:val="18"/>
              </w:rPr>
            </w:pPr>
            <w:r>
              <w:rPr>
                <w:rFonts w:hint="eastAsia" w:ascii="宋体" w:hAnsi="宋体" w:cs="宋体"/>
                <w:sz w:val="18"/>
                <w:szCs w:val="18"/>
              </w:rPr>
              <w:t>项目</w:t>
            </w:r>
          </w:p>
        </w:tc>
        <w:tc>
          <w:tcPr>
            <w:tcW w:w="6619" w:type="dxa"/>
            <w:tcBorders>
              <w:top w:val="single" w:color="000000"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60A58B6C">
            <w:pPr>
              <w:pStyle w:val="49"/>
              <w:widowControl/>
              <w:tabs>
                <w:tab w:val="center" w:pos="4201"/>
                <w:tab w:val="right" w:leader="dot" w:pos="9298"/>
              </w:tabs>
              <w:autoSpaceDE w:val="0"/>
              <w:autoSpaceDN w:val="0"/>
              <w:adjustRightInd/>
              <w:ind w:firstLine="0" w:firstLineChars="0"/>
              <w:jc w:val="center"/>
              <w:rPr>
                <w:rFonts w:hint="eastAsia" w:ascii="宋体" w:hAnsi="宋体" w:cs="宋体"/>
                <w:sz w:val="18"/>
                <w:szCs w:val="18"/>
              </w:rPr>
            </w:pPr>
            <w:r>
              <w:rPr>
                <w:rFonts w:hint="eastAsia" w:ascii="宋体" w:hAnsi="宋体" w:cs="宋体"/>
                <w:sz w:val="18"/>
                <w:szCs w:val="18"/>
              </w:rPr>
              <w:t>要求</w:t>
            </w:r>
          </w:p>
        </w:tc>
      </w:tr>
      <w:tr w14:paraId="102837F0">
        <w:tblPrEx>
          <w:tblCellMar>
            <w:top w:w="15" w:type="dxa"/>
            <w:left w:w="15" w:type="dxa"/>
            <w:bottom w:w="15" w:type="dxa"/>
            <w:right w:w="15" w:type="dxa"/>
          </w:tblCellMar>
        </w:tblPrEx>
        <w:trPr>
          <w:trHeight w:val="312" w:hRule="atLeast"/>
          <w:jc w:val="center"/>
        </w:trPr>
        <w:tc>
          <w:tcPr>
            <w:tcW w:w="1623" w:type="dxa"/>
            <w:tcBorders>
              <w:top w:val="single" w:color="000000"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1334AAF2">
            <w:pPr>
              <w:pStyle w:val="49"/>
              <w:widowControl/>
              <w:tabs>
                <w:tab w:val="center" w:pos="4201"/>
                <w:tab w:val="right" w:leader="dot" w:pos="9298"/>
              </w:tabs>
              <w:autoSpaceDE w:val="0"/>
              <w:autoSpaceDN w:val="0"/>
              <w:adjustRightInd/>
              <w:ind w:firstLine="0" w:firstLineChars="0"/>
              <w:jc w:val="center"/>
              <w:rPr>
                <w:rFonts w:hint="eastAsia" w:ascii="宋体" w:hAnsi="宋体" w:cs="宋体"/>
                <w:sz w:val="18"/>
                <w:szCs w:val="18"/>
              </w:rPr>
            </w:pPr>
            <w:r>
              <w:rPr>
                <w:rFonts w:hint="eastAsia" w:ascii="宋体" w:hAnsi="宋体" w:cs="宋体"/>
                <w:sz w:val="18"/>
                <w:szCs w:val="18"/>
              </w:rPr>
              <w:t>外观</w:t>
            </w:r>
          </w:p>
        </w:tc>
        <w:tc>
          <w:tcPr>
            <w:tcW w:w="6619" w:type="dxa"/>
            <w:tcBorders>
              <w:top w:val="single" w:color="CBCDD1"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668ED257">
            <w:pPr>
              <w:pStyle w:val="49"/>
              <w:widowControl/>
              <w:tabs>
                <w:tab w:val="center" w:pos="4201"/>
                <w:tab w:val="right" w:leader="dot" w:pos="9298"/>
              </w:tabs>
              <w:autoSpaceDE w:val="0"/>
              <w:autoSpaceDN w:val="0"/>
              <w:adjustRightInd/>
              <w:ind w:firstLine="0" w:firstLineChars="0"/>
              <w:jc w:val="center"/>
              <w:rPr>
                <w:rFonts w:hint="eastAsia" w:ascii="宋体" w:hAnsi="宋体" w:cs="宋体"/>
                <w:sz w:val="18"/>
                <w:szCs w:val="18"/>
              </w:rPr>
            </w:pPr>
            <w:r>
              <w:rPr>
                <w:rFonts w:hint="eastAsia" w:ascii="宋体" w:hAnsi="宋体" w:cs="宋体"/>
                <w:sz w:val="18"/>
                <w:szCs w:val="18"/>
              </w:rPr>
              <w:t>籽粒应均匀、无或仅有较少的不饱满籽粒，无虫蚀、无霉变</w:t>
            </w:r>
          </w:p>
        </w:tc>
      </w:tr>
      <w:tr w14:paraId="25290B4A">
        <w:tblPrEx>
          <w:tblCellMar>
            <w:top w:w="15" w:type="dxa"/>
            <w:left w:w="15" w:type="dxa"/>
            <w:bottom w:w="15" w:type="dxa"/>
            <w:right w:w="15" w:type="dxa"/>
          </w:tblCellMar>
        </w:tblPrEx>
        <w:trPr>
          <w:trHeight w:val="312" w:hRule="atLeast"/>
          <w:jc w:val="center"/>
        </w:trPr>
        <w:tc>
          <w:tcPr>
            <w:tcW w:w="1623" w:type="dxa"/>
            <w:tcBorders>
              <w:top w:val="single" w:color="000000"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71F6ADFA">
            <w:pPr>
              <w:pStyle w:val="49"/>
              <w:widowControl/>
              <w:tabs>
                <w:tab w:val="center" w:pos="4201"/>
                <w:tab w:val="right" w:leader="dot" w:pos="9298"/>
              </w:tabs>
              <w:autoSpaceDE w:val="0"/>
              <w:autoSpaceDN w:val="0"/>
              <w:adjustRightInd/>
              <w:ind w:firstLine="0" w:firstLineChars="0"/>
              <w:jc w:val="center"/>
              <w:rPr>
                <w:rFonts w:hint="eastAsia" w:ascii="宋体" w:hAnsi="宋体" w:cs="宋体"/>
                <w:sz w:val="18"/>
                <w:szCs w:val="18"/>
              </w:rPr>
            </w:pPr>
            <w:r>
              <w:rPr>
                <w:rFonts w:hint="eastAsia" w:ascii="宋体" w:hAnsi="宋体" w:cs="宋体"/>
                <w:sz w:val="18"/>
                <w:szCs w:val="18"/>
              </w:rPr>
              <w:t>杂质</w:t>
            </w:r>
          </w:p>
        </w:tc>
        <w:tc>
          <w:tcPr>
            <w:tcW w:w="6619" w:type="dxa"/>
            <w:tcBorders>
              <w:top w:val="single" w:color="CBCDD1"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1F7D4E14">
            <w:pPr>
              <w:pStyle w:val="49"/>
              <w:widowControl/>
              <w:tabs>
                <w:tab w:val="center" w:pos="4201"/>
                <w:tab w:val="right" w:leader="dot" w:pos="9298"/>
              </w:tabs>
              <w:autoSpaceDE w:val="0"/>
              <w:autoSpaceDN w:val="0"/>
              <w:adjustRightInd/>
              <w:ind w:firstLine="0" w:firstLineChars="0"/>
              <w:jc w:val="center"/>
              <w:rPr>
                <w:rFonts w:hint="eastAsia" w:ascii="宋体" w:hAnsi="宋体" w:cs="宋体"/>
                <w:sz w:val="18"/>
                <w:szCs w:val="18"/>
              </w:rPr>
            </w:pPr>
            <w:r>
              <w:rPr>
                <w:rFonts w:hint="eastAsia" w:ascii="宋体" w:hAnsi="宋体" w:cs="宋体"/>
                <w:sz w:val="18"/>
                <w:szCs w:val="18"/>
              </w:rPr>
              <w:t>无泥土、砂石、砖瓦块等无机杂质，无异种类粮粒、杂草种子等有机杂质</w:t>
            </w:r>
          </w:p>
        </w:tc>
      </w:tr>
      <w:tr w14:paraId="2B8B7E35">
        <w:tblPrEx>
          <w:tblCellMar>
            <w:top w:w="15" w:type="dxa"/>
            <w:left w:w="15" w:type="dxa"/>
            <w:bottom w:w="15" w:type="dxa"/>
            <w:right w:w="15" w:type="dxa"/>
          </w:tblCellMar>
        </w:tblPrEx>
        <w:trPr>
          <w:trHeight w:val="367" w:hRule="atLeast"/>
          <w:jc w:val="center"/>
        </w:trPr>
        <w:tc>
          <w:tcPr>
            <w:tcW w:w="1623" w:type="dxa"/>
            <w:tcBorders>
              <w:top w:val="single" w:color="000000"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32A2EE4D">
            <w:pPr>
              <w:pStyle w:val="49"/>
              <w:widowControl/>
              <w:tabs>
                <w:tab w:val="center" w:pos="4201"/>
                <w:tab w:val="right" w:leader="dot" w:pos="9298"/>
              </w:tabs>
              <w:autoSpaceDE w:val="0"/>
              <w:autoSpaceDN w:val="0"/>
              <w:adjustRightInd/>
              <w:ind w:firstLine="0" w:firstLineChars="0"/>
              <w:jc w:val="center"/>
              <w:rPr>
                <w:rFonts w:hint="eastAsia" w:ascii="宋体" w:hAnsi="宋体" w:cs="宋体"/>
                <w:sz w:val="18"/>
                <w:szCs w:val="18"/>
              </w:rPr>
            </w:pPr>
            <w:r>
              <w:rPr>
                <w:rFonts w:hint="eastAsia" w:ascii="宋体" w:hAnsi="宋体" w:cs="宋体"/>
                <w:sz w:val="18"/>
                <w:szCs w:val="18"/>
              </w:rPr>
              <w:t>气味</w:t>
            </w:r>
          </w:p>
        </w:tc>
        <w:tc>
          <w:tcPr>
            <w:tcW w:w="6619" w:type="dxa"/>
            <w:tcBorders>
              <w:top w:val="single" w:color="CBCDD1"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2F9CC056">
            <w:pPr>
              <w:pStyle w:val="49"/>
              <w:widowControl/>
              <w:tabs>
                <w:tab w:val="center" w:pos="4201"/>
                <w:tab w:val="right" w:leader="dot" w:pos="9298"/>
              </w:tabs>
              <w:autoSpaceDE w:val="0"/>
              <w:autoSpaceDN w:val="0"/>
              <w:adjustRightInd/>
              <w:ind w:firstLine="0" w:firstLineChars="0"/>
              <w:jc w:val="center"/>
              <w:rPr>
                <w:rFonts w:hint="eastAsia" w:ascii="宋体" w:hAnsi="宋体" w:cs="宋体"/>
                <w:sz w:val="18"/>
                <w:szCs w:val="18"/>
              </w:rPr>
            </w:pPr>
            <w:r>
              <w:rPr>
                <w:rFonts w:hint="eastAsia" w:ascii="宋体" w:hAnsi="宋体" w:cs="宋体"/>
                <w:sz w:val="18"/>
                <w:szCs w:val="18"/>
              </w:rPr>
              <w:t>固有的气味、无异味</w:t>
            </w:r>
          </w:p>
        </w:tc>
      </w:tr>
      <w:tr w14:paraId="6F66C80D">
        <w:tblPrEx>
          <w:tblCellMar>
            <w:top w:w="15" w:type="dxa"/>
            <w:left w:w="15" w:type="dxa"/>
            <w:bottom w:w="15" w:type="dxa"/>
            <w:right w:w="15" w:type="dxa"/>
          </w:tblCellMar>
        </w:tblPrEx>
        <w:trPr>
          <w:trHeight w:val="312" w:hRule="atLeast"/>
          <w:jc w:val="center"/>
        </w:trPr>
        <w:tc>
          <w:tcPr>
            <w:tcW w:w="1623" w:type="dxa"/>
            <w:tcBorders>
              <w:top w:val="single" w:color="000000"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21757E5D">
            <w:pPr>
              <w:pStyle w:val="49"/>
              <w:widowControl/>
              <w:tabs>
                <w:tab w:val="center" w:pos="4201"/>
                <w:tab w:val="right" w:leader="dot" w:pos="9298"/>
              </w:tabs>
              <w:autoSpaceDE w:val="0"/>
              <w:autoSpaceDN w:val="0"/>
              <w:adjustRightInd/>
              <w:ind w:firstLine="0" w:firstLineChars="0"/>
              <w:jc w:val="center"/>
              <w:rPr>
                <w:rFonts w:hint="eastAsia" w:ascii="宋体" w:hAnsi="宋体" w:cs="宋体"/>
                <w:sz w:val="18"/>
                <w:szCs w:val="18"/>
              </w:rPr>
            </w:pPr>
            <w:r>
              <w:rPr>
                <w:rFonts w:hint="eastAsia" w:ascii="宋体" w:hAnsi="宋体" w:cs="宋体"/>
                <w:sz w:val="18"/>
                <w:szCs w:val="18"/>
              </w:rPr>
              <w:t>色泽</w:t>
            </w:r>
          </w:p>
        </w:tc>
        <w:tc>
          <w:tcPr>
            <w:tcW w:w="6619" w:type="dxa"/>
            <w:tcBorders>
              <w:top w:val="single" w:color="CBCDD1"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337D77B9">
            <w:pPr>
              <w:pStyle w:val="49"/>
              <w:widowControl/>
              <w:tabs>
                <w:tab w:val="center" w:pos="4201"/>
                <w:tab w:val="right" w:leader="dot" w:pos="9298"/>
              </w:tabs>
              <w:autoSpaceDE w:val="0"/>
              <w:autoSpaceDN w:val="0"/>
              <w:adjustRightInd/>
              <w:ind w:firstLine="0" w:firstLineChars="0"/>
              <w:jc w:val="center"/>
              <w:rPr>
                <w:rFonts w:hint="eastAsia" w:ascii="宋体" w:hAnsi="宋体" w:cs="宋体"/>
                <w:sz w:val="18"/>
                <w:szCs w:val="18"/>
              </w:rPr>
            </w:pPr>
            <w:r>
              <w:rPr>
                <w:rFonts w:hint="eastAsia" w:ascii="宋体" w:hAnsi="宋体" w:cs="宋体"/>
                <w:sz w:val="18"/>
                <w:szCs w:val="18"/>
              </w:rPr>
              <w:t>固有颜色、色泽均匀</w:t>
            </w:r>
          </w:p>
        </w:tc>
      </w:tr>
    </w:tbl>
    <w:p w14:paraId="55157E60">
      <w:pPr>
        <w:pStyle w:val="63"/>
        <w:rPr>
          <w:rFonts w:hint="eastAsia" w:ascii="黑体" w:hAnsi="黑体" w:cs="黑体"/>
        </w:rPr>
      </w:pPr>
      <w:bookmarkStart w:id="133" w:name="_Toc195806962"/>
      <w:bookmarkEnd w:id="133"/>
      <w:bookmarkStart w:id="134" w:name="_Toc30214"/>
      <w:bookmarkStart w:id="135" w:name="_Toc14742"/>
      <w:r>
        <w:rPr>
          <w:rFonts w:hint="eastAsia" w:ascii="黑体" w:hAnsi="黑体" w:cs="黑体"/>
        </w:rPr>
        <w:t>理化指标</w:t>
      </w:r>
      <w:bookmarkEnd w:id="134"/>
      <w:bookmarkEnd w:id="135"/>
    </w:p>
    <w:p w14:paraId="349E1932">
      <w:pPr>
        <w:spacing w:line="240" w:lineRule="auto"/>
        <w:ind w:firstLine="420" w:firstLineChars="200"/>
        <w:rPr>
          <w:rFonts w:hint="eastAsia" w:ascii="宋体" w:hAnsi="宋体" w:cs="宋体"/>
        </w:rPr>
      </w:pPr>
      <w:r>
        <w:rPr>
          <w:rFonts w:hint="eastAsia" w:ascii="宋体" w:hAnsi="宋体" w:cs="宋体"/>
        </w:rPr>
        <w:t>速冻鲜食玉米理化指标应符合表2的规定。</w:t>
      </w:r>
    </w:p>
    <w:p w14:paraId="3039515B">
      <w:pPr>
        <w:spacing w:line="240" w:lineRule="auto"/>
        <w:ind w:firstLine="420" w:firstLineChars="200"/>
        <w:rPr>
          <w:rFonts w:hint="eastAsia" w:ascii="宋体" w:hAnsi="宋体" w:cs="宋体"/>
        </w:rPr>
      </w:pPr>
    </w:p>
    <w:p w14:paraId="21F2E0C2">
      <w:pPr>
        <w:spacing w:line="240" w:lineRule="auto"/>
        <w:ind w:firstLine="420" w:firstLineChars="200"/>
        <w:rPr>
          <w:rFonts w:hint="eastAsia" w:ascii="宋体" w:hAnsi="宋体" w:cs="宋体"/>
        </w:rPr>
      </w:pPr>
    </w:p>
    <w:p w14:paraId="7DA53E00">
      <w:pPr>
        <w:spacing w:line="240" w:lineRule="auto"/>
        <w:ind w:firstLine="420" w:firstLineChars="200"/>
        <w:rPr>
          <w:rFonts w:hint="eastAsia" w:ascii="宋体" w:hAnsi="宋体" w:cs="宋体"/>
        </w:rPr>
      </w:pPr>
    </w:p>
    <w:p w14:paraId="474889CC">
      <w:pPr>
        <w:pStyle w:val="11"/>
        <w:spacing w:before="156" w:beforeLines="50" w:after="156" w:afterLines="50" w:line="240" w:lineRule="auto"/>
        <w:jc w:val="center"/>
        <w:rPr>
          <w:rFonts w:hint="eastAsia" w:ascii="黑体" w:hAnsi="黑体"/>
          <w:sz w:val="21"/>
          <w:szCs w:val="21"/>
        </w:rPr>
      </w:pPr>
      <w:r>
        <w:rPr>
          <w:rFonts w:hint="eastAsia" w:ascii="黑体" w:hAnsi="黑体"/>
          <w:sz w:val="21"/>
          <w:szCs w:val="21"/>
        </w:rPr>
        <w:t xml:space="preserve">表 </w:t>
      </w:r>
      <w:r>
        <w:rPr>
          <w:rFonts w:hint="eastAsia" w:ascii="黑体" w:hAnsi="黑体"/>
          <w:sz w:val="21"/>
          <w:szCs w:val="21"/>
        </w:rPr>
        <w:fldChar w:fldCharType="begin"/>
      </w:r>
      <w:r>
        <w:rPr>
          <w:rFonts w:hint="eastAsia" w:ascii="黑体" w:hAnsi="黑体"/>
          <w:sz w:val="21"/>
          <w:szCs w:val="21"/>
        </w:rPr>
        <w:instrText xml:space="preserve"> SEQ 表 \* ARABIC </w:instrText>
      </w:r>
      <w:r>
        <w:rPr>
          <w:rFonts w:hint="eastAsia" w:ascii="黑体" w:hAnsi="黑体"/>
          <w:sz w:val="21"/>
          <w:szCs w:val="21"/>
        </w:rPr>
        <w:fldChar w:fldCharType="separate"/>
      </w:r>
      <w:r>
        <w:rPr>
          <w:rFonts w:hint="eastAsia" w:ascii="黑体" w:hAnsi="黑体"/>
          <w:sz w:val="21"/>
          <w:szCs w:val="21"/>
        </w:rPr>
        <w:t>2</w:t>
      </w:r>
      <w:r>
        <w:rPr>
          <w:rFonts w:hint="eastAsia" w:ascii="黑体" w:hAnsi="黑体"/>
          <w:sz w:val="21"/>
          <w:szCs w:val="21"/>
        </w:rPr>
        <w:fldChar w:fldCharType="end"/>
      </w:r>
      <w:bookmarkStart w:id="136" w:name="_Toc25253"/>
      <w:bookmarkStart w:id="137" w:name="_Toc1027"/>
      <w:r>
        <w:rPr>
          <w:rFonts w:hint="eastAsia" w:ascii="黑体" w:hAnsi="黑体"/>
          <w:sz w:val="21"/>
          <w:szCs w:val="21"/>
        </w:rPr>
        <w:t xml:space="preserve"> 理化指标</w:t>
      </w:r>
      <w:bookmarkEnd w:id="136"/>
      <w:bookmarkEnd w:id="137"/>
    </w:p>
    <w:tbl>
      <w:tblPr>
        <w:tblStyle w:val="26"/>
        <w:tblW w:w="7661" w:type="dxa"/>
        <w:jc w:val="center"/>
        <w:tblLayout w:type="autofit"/>
        <w:tblCellMar>
          <w:top w:w="15" w:type="dxa"/>
          <w:left w:w="15" w:type="dxa"/>
          <w:bottom w:w="15" w:type="dxa"/>
          <w:right w:w="15" w:type="dxa"/>
        </w:tblCellMar>
      </w:tblPr>
      <w:tblGrid>
        <w:gridCol w:w="2983"/>
        <w:gridCol w:w="2267"/>
        <w:gridCol w:w="2411"/>
      </w:tblGrid>
      <w:tr w14:paraId="7CE1EE3C">
        <w:tblPrEx>
          <w:tblCellMar>
            <w:top w:w="15" w:type="dxa"/>
            <w:left w:w="15" w:type="dxa"/>
            <w:bottom w:w="15" w:type="dxa"/>
            <w:right w:w="15" w:type="dxa"/>
          </w:tblCellMar>
        </w:tblPrEx>
        <w:trPr>
          <w:trHeight w:val="340" w:hRule="atLeast"/>
          <w:jc w:val="center"/>
        </w:trPr>
        <w:tc>
          <w:tcPr>
            <w:tcW w:w="2983" w:type="dxa"/>
            <w:vMerge w:val="restart"/>
            <w:tcBorders>
              <w:top w:val="single" w:color="auto" w:sz="4" w:space="0"/>
              <w:left w:val="single" w:color="auto" w:sz="4" w:space="0"/>
              <w:right w:val="single" w:color="auto" w:sz="4" w:space="0"/>
            </w:tcBorders>
            <w:tcMar>
              <w:top w:w="0" w:type="dxa"/>
              <w:left w:w="86" w:type="dxa"/>
              <w:bottom w:w="0" w:type="dxa"/>
              <w:right w:w="86" w:type="dxa"/>
            </w:tcMar>
            <w:vAlign w:val="center"/>
          </w:tcPr>
          <w:p w14:paraId="44DB446E">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项 目</w:t>
            </w:r>
          </w:p>
        </w:tc>
        <w:tc>
          <w:tcPr>
            <w:tcW w:w="4678" w:type="dxa"/>
            <w:gridSpan w:val="2"/>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2ADD0A53">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指标</w:t>
            </w:r>
          </w:p>
        </w:tc>
      </w:tr>
      <w:tr w14:paraId="10527F24">
        <w:tblPrEx>
          <w:tblCellMar>
            <w:top w:w="15" w:type="dxa"/>
            <w:left w:w="15" w:type="dxa"/>
            <w:bottom w:w="15" w:type="dxa"/>
            <w:right w:w="15" w:type="dxa"/>
          </w:tblCellMar>
        </w:tblPrEx>
        <w:trPr>
          <w:trHeight w:val="312" w:hRule="atLeast"/>
          <w:jc w:val="center"/>
        </w:trPr>
        <w:tc>
          <w:tcPr>
            <w:tcW w:w="2983" w:type="dxa"/>
            <w:vMerge w:val="continue"/>
            <w:tcBorders>
              <w:left w:val="single" w:color="auto" w:sz="4" w:space="0"/>
              <w:bottom w:val="single" w:color="auto" w:sz="4" w:space="0"/>
              <w:right w:val="single" w:color="auto" w:sz="4" w:space="0"/>
            </w:tcBorders>
            <w:tcMar>
              <w:top w:w="0" w:type="dxa"/>
              <w:left w:w="86" w:type="dxa"/>
              <w:bottom w:w="0" w:type="dxa"/>
              <w:right w:w="86" w:type="dxa"/>
            </w:tcMar>
            <w:vAlign w:val="center"/>
          </w:tcPr>
          <w:p w14:paraId="027D7D12">
            <w:pPr>
              <w:pStyle w:val="49"/>
              <w:tabs>
                <w:tab w:val="center" w:pos="4201"/>
                <w:tab w:val="right" w:leader="dot" w:pos="9298"/>
              </w:tabs>
              <w:autoSpaceDE w:val="0"/>
              <w:autoSpaceDN w:val="0"/>
              <w:ind w:firstLine="0" w:firstLineChars="0"/>
              <w:jc w:val="center"/>
              <w:rPr>
                <w:rFonts w:hint="eastAsia" w:ascii="宋体" w:hAnsi="宋体" w:cs="宋体"/>
                <w:sz w:val="18"/>
                <w:szCs w:val="18"/>
              </w:rPr>
            </w:pPr>
          </w:p>
        </w:tc>
        <w:tc>
          <w:tcPr>
            <w:tcW w:w="2267"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2333C607">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一级</w:t>
            </w:r>
          </w:p>
        </w:tc>
        <w:tc>
          <w:tcPr>
            <w:tcW w:w="2411"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1440ADA6">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二级</w:t>
            </w:r>
          </w:p>
        </w:tc>
      </w:tr>
      <w:tr w14:paraId="3251B362">
        <w:tblPrEx>
          <w:tblCellMar>
            <w:top w:w="15" w:type="dxa"/>
            <w:left w:w="15" w:type="dxa"/>
            <w:bottom w:w="15" w:type="dxa"/>
            <w:right w:w="15" w:type="dxa"/>
          </w:tblCellMar>
        </w:tblPrEx>
        <w:trPr>
          <w:trHeight w:val="312" w:hRule="atLeast"/>
          <w:jc w:val="center"/>
        </w:trPr>
        <w:tc>
          <w:tcPr>
            <w:tcW w:w="2983" w:type="dxa"/>
            <w:tcBorders>
              <w:left w:val="single" w:color="auto" w:sz="4" w:space="0"/>
              <w:bottom w:val="single" w:color="auto" w:sz="4" w:space="0"/>
              <w:right w:val="single" w:color="auto" w:sz="4" w:space="0"/>
            </w:tcBorders>
            <w:tcMar>
              <w:top w:w="0" w:type="dxa"/>
              <w:left w:w="86" w:type="dxa"/>
              <w:bottom w:w="0" w:type="dxa"/>
              <w:right w:w="86" w:type="dxa"/>
            </w:tcMar>
            <w:vAlign w:val="center"/>
          </w:tcPr>
          <w:p w14:paraId="47E446A5">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果穗长度</w:t>
            </w:r>
          </w:p>
        </w:tc>
        <w:tc>
          <w:tcPr>
            <w:tcW w:w="2267"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1B76F51F">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≥16 cm</w:t>
            </w:r>
          </w:p>
        </w:tc>
        <w:tc>
          <w:tcPr>
            <w:tcW w:w="2411"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3DA65D2F">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≥14 cm，＜16 cm</w:t>
            </w:r>
          </w:p>
        </w:tc>
      </w:tr>
      <w:tr w14:paraId="1819DAC0">
        <w:tblPrEx>
          <w:tblCellMar>
            <w:top w:w="15" w:type="dxa"/>
            <w:left w:w="15" w:type="dxa"/>
            <w:bottom w:w="15" w:type="dxa"/>
            <w:right w:w="15" w:type="dxa"/>
          </w:tblCellMar>
        </w:tblPrEx>
        <w:trPr>
          <w:trHeight w:val="312" w:hRule="atLeast"/>
          <w:jc w:val="center"/>
        </w:trPr>
        <w:tc>
          <w:tcPr>
            <w:tcW w:w="2983"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035B923E">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水分</w:t>
            </w:r>
          </w:p>
        </w:tc>
        <w:tc>
          <w:tcPr>
            <w:tcW w:w="2267"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6B060D9E">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≥65%</w:t>
            </w:r>
          </w:p>
        </w:tc>
        <w:tc>
          <w:tcPr>
            <w:tcW w:w="2411"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62454FF8">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≥55%，＜65%</w:t>
            </w:r>
          </w:p>
        </w:tc>
      </w:tr>
      <w:tr w14:paraId="439EF333">
        <w:tblPrEx>
          <w:tblCellMar>
            <w:top w:w="15" w:type="dxa"/>
            <w:left w:w="15" w:type="dxa"/>
            <w:bottom w:w="15" w:type="dxa"/>
            <w:right w:w="15" w:type="dxa"/>
          </w:tblCellMar>
        </w:tblPrEx>
        <w:trPr>
          <w:trHeight w:val="312" w:hRule="atLeast"/>
          <w:jc w:val="center"/>
        </w:trPr>
        <w:tc>
          <w:tcPr>
            <w:tcW w:w="2983"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32E9C2AE">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蛋白质</w:t>
            </w:r>
          </w:p>
        </w:tc>
        <w:tc>
          <w:tcPr>
            <w:tcW w:w="2267"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4CDE5943">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≥4 g/100 g</w:t>
            </w:r>
          </w:p>
        </w:tc>
        <w:tc>
          <w:tcPr>
            <w:tcW w:w="2411"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09134732">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≥3.2 g/100 g，＜4 g/100 g</w:t>
            </w:r>
          </w:p>
        </w:tc>
      </w:tr>
      <w:tr w14:paraId="501C8C18">
        <w:tblPrEx>
          <w:tblCellMar>
            <w:top w:w="15" w:type="dxa"/>
            <w:left w:w="15" w:type="dxa"/>
            <w:bottom w:w="15" w:type="dxa"/>
            <w:right w:w="15" w:type="dxa"/>
          </w:tblCellMar>
        </w:tblPrEx>
        <w:trPr>
          <w:trHeight w:val="312" w:hRule="atLeast"/>
          <w:jc w:val="center"/>
        </w:trPr>
        <w:tc>
          <w:tcPr>
            <w:tcW w:w="2983"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43E4C18C">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膳食纤维</w:t>
            </w:r>
          </w:p>
        </w:tc>
        <w:tc>
          <w:tcPr>
            <w:tcW w:w="2267"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39E1DF6B">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≥18 g/100 g</w:t>
            </w:r>
          </w:p>
        </w:tc>
        <w:tc>
          <w:tcPr>
            <w:tcW w:w="2411"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2944D142">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≥15 g/100 g，＜18 g/100 g</w:t>
            </w:r>
          </w:p>
        </w:tc>
      </w:tr>
      <w:tr w14:paraId="4D7FCCE9">
        <w:tblPrEx>
          <w:tblCellMar>
            <w:top w:w="15" w:type="dxa"/>
            <w:left w:w="15" w:type="dxa"/>
            <w:bottom w:w="15" w:type="dxa"/>
            <w:right w:w="15" w:type="dxa"/>
          </w:tblCellMar>
        </w:tblPrEx>
        <w:trPr>
          <w:trHeight w:val="312" w:hRule="atLeast"/>
          <w:jc w:val="center"/>
        </w:trPr>
        <w:tc>
          <w:tcPr>
            <w:tcW w:w="2983"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72375A9E">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直链淀粉（干基）</w:t>
            </w:r>
          </w:p>
        </w:tc>
        <w:tc>
          <w:tcPr>
            <w:tcW w:w="2267"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509C60CD">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≤7.5%</w:t>
            </w:r>
          </w:p>
        </w:tc>
        <w:tc>
          <w:tcPr>
            <w:tcW w:w="2411"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1A3A66A0">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＞7.5%，≤8%</w:t>
            </w:r>
          </w:p>
        </w:tc>
      </w:tr>
      <w:tr w14:paraId="7579C3BC">
        <w:tblPrEx>
          <w:tblCellMar>
            <w:top w:w="15" w:type="dxa"/>
            <w:left w:w="15" w:type="dxa"/>
            <w:bottom w:w="15" w:type="dxa"/>
            <w:right w:w="15" w:type="dxa"/>
          </w:tblCellMar>
        </w:tblPrEx>
        <w:trPr>
          <w:trHeight w:val="312" w:hRule="atLeast"/>
          <w:jc w:val="center"/>
        </w:trPr>
        <w:tc>
          <w:tcPr>
            <w:tcW w:w="2983"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3AE4D6BE">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可溶性糖</w:t>
            </w:r>
          </w:p>
        </w:tc>
        <w:tc>
          <w:tcPr>
            <w:tcW w:w="2267"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780F1787">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≥10%</w:t>
            </w:r>
          </w:p>
        </w:tc>
        <w:tc>
          <w:tcPr>
            <w:tcW w:w="2411"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76069472">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≥8%，＜10%</w:t>
            </w:r>
          </w:p>
        </w:tc>
      </w:tr>
      <w:tr w14:paraId="443A9D09">
        <w:tblPrEx>
          <w:tblCellMar>
            <w:top w:w="15" w:type="dxa"/>
            <w:left w:w="15" w:type="dxa"/>
            <w:bottom w:w="15" w:type="dxa"/>
            <w:right w:w="15" w:type="dxa"/>
          </w:tblCellMar>
        </w:tblPrEx>
        <w:trPr>
          <w:trHeight w:val="312" w:hRule="atLeast"/>
          <w:jc w:val="center"/>
        </w:trPr>
        <w:tc>
          <w:tcPr>
            <w:tcW w:w="2983"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5B56F9E8">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可溶性固形物</w:t>
            </w:r>
          </w:p>
        </w:tc>
        <w:tc>
          <w:tcPr>
            <w:tcW w:w="2267"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32BE27CD">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≥12%</w:t>
            </w:r>
          </w:p>
        </w:tc>
        <w:tc>
          <w:tcPr>
            <w:tcW w:w="2411"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4409BA3D">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≥10%，＜12%</w:t>
            </w:r>
          </w:p>
        </w:tc>
      </w:tr>
      <w:tr w14:paraId="656640E7">
        <w:tblPrEx>
          <w:tblCellMar>
            <w:top w:w="15" w:type="dxa"/>
            <w:left w:w="15" w:type="dxa"/>
            <w:bottom w:w="15" w:type="dxa"/>
            <w:right w:w="15" w:type="dxa"/>
          </w:tblCellMar>
        </w:tblPrEx>
        <w:trPr>
          <w:trHeight w:val="312" w:hRule="atLeast"/>
          <w:jc w:val="center"/>
        </w:trPr>
        <w:tc>
          <w:tcPr>
            <w:tcW w:w="2983"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17A74B2C">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皮渣率</w:t>
            </w:r>
          </w:p>
        </w:tc>
        <w:tc>
          <w:tcPr>
            <w:tcW w:w="2267"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07FB95DA">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≤13%</w:t>
            </w:r>
          </w:p>
        </w:tc>
        <w:tc>
          <w:tcPr>
            <w:tcW w:w="2411"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14:paraId="59B08EE1">
            <w:pPr>
              <w:pStyle w:val="49"/>
              <w:tabs>
                <w:tab w:val="center" w:pos="4201"/>
                <w:tab w:val="right" w:leader="dot" w:pos="9298"/>
              </w:tabs>
              <w:autoSpaceDE w:val="0"/>
              <w:autoSpaceDN w:val="0"/>
              <w:ind w:firstLine="0" w:firstLineChars="0"/>
              <w:jc w:val="center"/>
              <w:rPr>
                <w:rFonts w:hint="eastAsia" w:ascii="宋体" w:hAnsi="宋体" w:cs="宋体"/>
                <w:sz w:val="18"/>
                <w:szCs w:val="18"/>
              </w:rPr>
            </w:pPr>
            <w:r>
              <w:rPr>
                <w:rFonts w:hint="eastAsia" w:ascii="宋体" w:hAnsi="宋体" w:cs="宋体"/>
                <w:sz w:val="18"/>
                <w:szCs w:val="18"/>
              </w:rPr>
              <w:t>＞13%，≤15%</w:t>
            </w:r>
          </w:p>
        </w:tc>
      </w:tr>
    </w:tbl>
    <w:p w14:paraId="1ED4BEBA">
      <w:pPr>
        <w:pStyle w:val="63"/>
        <w:rPr>
          <w:rFonts w:hint="eastAsia" w:ascii="黑体" w:hAnsi="黑体" w:cs="黑体"/>
        </w:rPr>
      </w:pPr>
      <w:bookmarkStart w:id="138" w:name="_Toc17149"/>
      <w:bookmarkStart w:id="139" w:name="_Toc17332"/>
      <w:r>
        <w:rPr>
          <w:rFonts w:hint="eastAsia" w:ascii="黑体" w:hAnsi="黑体" w:cs="黑体"/>
        </w:rPr>
        <w:t>微生物限量</w:t>
      </w:r>
      <w:bookmarkEnd w:id="138"/>
      <w:bookmarkEnd w:id="139"/>
    </w:p>
    <w:p w14:paraId="62A5B31F">
      <w:pPr>
        <w:pStyle w:val="49"/>
        <w:tabs>
          <w:tab w:val="center" w:pos="4201"/>
          <w:tab w:val="right" w:leader="dot" w:pos="9298"/>
        </w:tabs>
        <w:rPr>
          <w:rFonts w:hint="eastAsia" w:ascii="宋体" w:hAnsi="宋体" w:cs="宋体"/>
        </w:rPr>
      </w:pPr>
      <w:r>
        <w:rPr>
          <w:rFonts w:hint="eastAsia" w:ascii="宋体" w:hAnsi="宋体" w:cs="宋体"/>
        </w:rPr>
        <w:t>速冻鲜食玉米微生物限量应符合表3的规定。</w:t>
      </w:r>
    </w:p>
    <w:p w14:paraId="09D58608">
      <w:pPr>
        <w:pStyle w:val="11"/>
        <w:spacing w:before="156" w:beforeLines="50" w:after="156" w:afterLines="50" w:line="240" w:lineRule="auto"/>
        <w:jc w:val="center"/>
        <w:rPr>
          <w:rFonts w:hint="eastAsia" w:ascii="黑体" w:hAnsi="黑体"/>
          <w:sz w:val="21"/>
          <w:szCs w:val="21"/>
        </w:rPr>
      </w:pPr>
      <w:r>
        <w:rPr>
          <w:rFonts w:hint="eastAsia" w:ascii="黑体" w:hAnsi="黑体"/>
          <w:sz w:val="21"/>
          <w:szCs w:val="21"/>
        </w:rPr>
        <w:t xml:space="preserve">表 </w:t>
      </w:r>
      <w:r>
        <w:rPr>
          <w:rFonts w:hint="eastAsia" w:ascii="黑体" w:hAnsi="黑体"/>
          <w:sz w:val="21"/>
          <w:szCs w:val="21"/>
        </w:rPr>
        <w:fldChar w:fldCharType="begin"/>
      </w:r>
      <w:r>
        <w:rPr>
          <w:rFonts w:hint="eastAsia" w:ascii="黑体" w:hAnsi="黑体"/>
          <w:sz w:val="21"/>
          <w:szCs w:val="21"/>
        </w:rPr>
        <w:instrText xml:space="preserve"> SEQ 表 \* ARABIC </w:instrText>
      </w:r>
      <w:r>
        <w:rPr>
          <w:rFonts w:hint="eastAsia" w:ascii="黑体" w:hAnsi="黑体"/>
          <w:sz w:val="21"/>
          <w:szCs w:val="21"/>
        </w:rPr>
        <w:fldChar w:fldCharType="separate"/>
      </w:r>
      <w:r>
        <w:rPr>
          <w:rFonts w:hint="eastAsia" w:ascii="黑体" w:hAnsi="黑体"/>
          <w:sz w:val="21"/>
          <w:szCs w:val="21"/>
        </w:rPr>
        <w:t>3</w:t>
      </w:r>
      <w:r>
        <w:rPr>
          <w:rFonts w:hint="eastAsia" w:ascii="黑体" w:hAnsi="黑体"/>
          <w:sz w:val="21"/>
          <w:szCs w:val="21"/>
        </w:rPr>
        <w:fldChar w:fldCharType="end"/>
      </w:r>
      <w:bookmarkStart w:id="140" w:name="_Toc24843"/>
      <w:bookmarkStart w:id="141" w:name="_Toc16879"/>
      <w:r>
        <w:rPr>
          <w:rFonts w:hint="eastAsia" w:ascii="黑体" w:hAnsi="黑体"/>
          <w:sz w:val="21"/>
          <w:szCs w:val="21"/>
        </w:rPr>
        <w:t xml:space="preserve"> 微生物限量</w:t>
      </w:r>
      <w:bookmarkEnd w:id="140"/>
      <w:bookmarkEnd w:id="141"/>
    </w:p>
    <w:tbl>
      <w:tblPr>
        <w:tblStyle w:val="26"/>
        <w:tblW w:w="0" w:type="auto"/>
        <w:jc w:val="center"/>
        <w:tblLayout w:type="autofit"/>
        <w:tblCellMar>
          <w:top w:w="15" w:type="dxa"/>
          <w:left w:w="15" w:type="dxa"/>
          <w:bottom w:w="15" w:type="dxa"/>
          <w:right w:w="15" w:type="dxa"/>
        </w:tblCellMar>
      </w:tblPr>
      <w:tblGrid>
        <w:gridCol w:w="3240"/>
        <w:gridCol w:w="4394"/>
      </w:tblGrid>
      <w:tr w14:paraId="143ED9E8">
        <w:tblPrEx>
          <w:tblCellMar>
            <w:top w:w="15" w:type="dxa"/>
            <w:left w:w="15" w:type="dxa"/>
            <w:bottom w:w="15" w:type="dxa"/>
            <w:right w:w="15" w:type="dxa"/>
          </w:tblCellMar>
        </w:tblPrEx>
        <w:trPr>
          <w:trHeight w:val="312" w:hRule="atLeast"/>
          <w:jc w:val="center"/>
        </w:trPr>
        <w:tc>
          <w:tcPr>
            <w:tcW w:w="3240" w:type="dxa"/>
            <w:tcBorders>
              <w:top w:val="single" w:color="000000"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5F83853F">
            <w:pPr>
              <w:widowControl/>
              <w:autoSpaceDE w:val="0"/>
              <w:autoSpaceDN w:val="0"/>
              <w:spacing w:line="240" w:lineRule="auto"/>
              <w:jc w:val="center"/>
              <w:rPr>
                <w:rFonts w:hint="eastAsia" w:ascii="宋体" w:hAnsi="宋体" w:cs="宋体"/>
                <w:kern w:val="0"/>
                <w:sz w:val="18"/>
                <w:szCs w:val="18"/>
              </w:rPr>
            </w:pPr>
            <w:r>
              <w:rPr>
                <w:rFonts w:hint="eastAsia" w:ascii="宋体" w:hAnsi="宋体" w:cs="宋体"/>
                <w:kern w:val="0"/>
                <w:sz w:val="18"/>
                <w:szCs w:val="18"/>
              </w:rPr>
              <w:t>项目</w:t>
            </w:r>
          </w:p>
        </w:tc>
        <w:tc>
          <w:tcPr>
            <w:tcW w:w="4394" w:type="dxa"/>
            <w:tcBorders>
              <w:top w:val="single" w:color="000000"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539B9F65">
            <w:pPr>
              <w:widowControl/>
              <w:autoSpaceDE w:val="0"/>
              <w:autoSpaceDN w:val="0"/>
              <w:spacing w:line="240" w:lineRule="auto"/>
              <w:jc w:val="center"/>
              <w:rPr>
                <w:rFonts w:hint="eastAsia" w:ascii="宋体" w:hAnsi="宋体" w:cs="宋体"/>
                <w:kern w:val="0"/>
                <w:sz w:val="18"/>
                <w:szCs w:val="18"/>
              </w:rPr>
            </w:pPr>
            <w:r>
              <w:rPr>
                <w:rFonts w:hint="eastAsia" w:ascii="宋体" w:hAnsi="宋体" w:cs="宋体"/>
                <w:kern w:val="0"/>
                <w:sz w:val="18"/>
                <w:szCs w:val="18"/>
              </w:rPr>
              <w:t>限量</w:t>
            </w:r>
          </w:p>
        </w:tc>
      </w:tr>
      <w:tr w14:paraId="070F80A2">
        <w:tblPrEx>
          <w:tblCellMar>
            <w:top w:w="15" w:type="dxa"/>
            <w:left w:w="15" w:type="dxa"/>
            <w:bottom w:w="15" w:type="dxa"/>
            <w:right w:w="15" w:type="dxa"/>
          </w:tblCellMar>
        </w:tblPrEx>
        <w:trPr>
          <w:trHeight w:val="312" w:hRule="atLeast"/>
          <w:jc w:val="center"/>
        </w:trPr>
        <w:tc>
          <w:tcPr>
            <w:tcW w:w="3240" w:type="dxa"/>
            <w:tcBorders>
              <w:top w:val="single" w:color="000000"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4A3A688E">
            <w:pPr>
              <w:widowControl/>
              <w:autoSpaceDE w:val="0"/>
              <w:autoSpaceDN w:val="0"/>
              <w:spacing w:line="240" w:lineRule="auto"/>
              <w:jc w:val="center"/>
              <w:rPr>
                <w:rFonts w:hint="eastAsia" w:ascii="宋体" w:hAnsi="宋体" w:cs="宋体"/>
                <w:kern w:val="0"/>
                <w:sz w:val="18"/>
                <w:szCs w:val="18"/>
              </w:rPr>
            </w:pPr>
            <w:r>
              <w:rPr>
                <w:rFonts w:hint="eastAsia" w:ascii="宋体" w:hAnsi="宋体" w:cs="宋体"/>
                <w:kern w:val="0"/>
                <w:sz w:val="18"/>
                <w:szCs w:val="18"/>
              </w:rPr>
              <w:t>菌落总数</w:t>
            </w:r>
          </w:p>
        </w:tc>
        <w:tc>
          <w:tcPr>
            <w:tcW w:w="4394" w:type="dxa"/>
            <w:tcBorders>
              <w:top w:val="single" w:color="CBCDD1"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3DC9F02B">
            <w:pPr>
              <w:widowControl/>
              <w:autoSpaceDE w:val="0"/>
              <w:autoSpaceDN w:val="0"/>
              <w:spacing w:line="240" w:lineRule="auto"/>
              <w:jc w:val="center"/>
              <w:rPr>
                <w:rFonts w:hint="eastAsia" w:ascii="宋体" w:hAnsi="宋体" w:cs="宋体"/>
                <w:kern w:val="0"/>
                <w:sz w:val="18"/>
                <w:szCs w:val="18"/>
              </w:rPr>
            </w:pPr>
            <w:r>
              <w:rPr>
                <w:rFonts w:hint="eastAsia" w:ascii="宋体" w:hAnsi="宋体" w:cs="宋体"/>
                <w:kern w:val="0"/>
                <w:sz w:val="18"/>
                <w:szCs w:val="18"/>
              </w:rPr>
              <w:t>≤10000 CFU/g</w:t>
            </w:r>
          </w:p>
        </w:tc>
      </w:tr>
      <w:tr w14:paraId="3FC2730C">
        <w:tblPrEx>
          <w:tblCellMar>
            <w:top w:w="15" w:type="dxa"/>
            <w:left w:w="15" w:type="dxa"/>
            <w:bottom w:w="15" w:type="dxa"/>
            <w:right w:w="15" w:type="dxa"/>
          </w:tblCellMar>
        </w:tblPrEx>
        <w:trPr>
          <w:trHeight w:val="312" w:hRule="atLeast"/>
          <w:jc w:val="center"/>
        </w:trPr>
        <w:tc>
          <w:tcPr>
            <w:tcW w:w="3240" w:type="dxa"/>
            <w:tcBorders>
              <w:top w:val="single" w:color="000000"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78C6869D">
            <w:pPr>
              <w:widowControl/>
              <w:autoSpaceDE w:val="0"/>
              <w:autoSpaceDN w:val="0"/>
              <w:spacing w:line="240" w:lineRule="auto"/>
              <w:jc w:val="center"/>
              <w:rPr>
                <w:rFonts w:hint="eastAsia" w:ascii="宋体" w:hAnsi="宋体" w:cs="宋体"/>
                <w:kern w:val="0"/>
                <w:sz w:val="18"/>
                <w:szCs w:val="18"/>
              </w:rPr>
            </w:pPr>
            <w:r>
              <w:rPr>
                <w:rFonts w:hint="eastAsia" w:ascii="宋体" w:hAnsi="宋体" w:cs="宋体"/>
                <w:kern w:val="0"/>
                <w:sz w:val="18"/>
                <w:szCs w:val="18"/>
              </w:rPr>
              <w:t>大肠菌群</w:t>
            </w:r>
          </w:p>
        </w:tc>
        <w:tc>
          <w:tcPr>
            <w:tcW w:w="4394" w:type="dxa"/>
            <w:tcBorders>
              <w:top w:val="single" w:color="CBCDD1"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732724FA">
            <w:pPr>
              <w:widowControl/>
              <w:autoSpaceDE w:val="0"/>
              <w:autoSpaceDN w:val="0"/>
              <w:spacing w:line="240" w:lineRule="auto"/>
              <w:jc w:val="center"/>
              <w:rPr>
                <w:rFonts w:hint="eastAsia" w:ascii="宋体" w:hAnsi="宋体" w:cs="宋体"/>
                <w:kern w:val="0"/>
                <w:sz w:val="18"/>
                <w:szCs w:val="18"/>
              </w:rPr>
            </w:pPr>
            <w:r>
              <w:rPr>
                <w:rFonts w:hint="eastAsia" w:ascii="宋体" w:hAnsi="宋体" w:cs="宋体"/>
                <w:kern w:val="0"/>
                <w:sz w:val="18"/>
                <w:szCs w:val="18"/>
              </w:rPr>
              <w:t>≤30 MPN/100 g</w:t>
            </w:r>
          </w:p>
        </w:tc>
      </w:tr>
      <w:tr w14:paraId="3E6ACBB9">
        <w:tblPrEx>
          <w:tblCellMar>
            <w:top w:w="15" w:type="dxa"/>
            <w:left w:w="15" w:type="dxa"/>
            <w:bottom w:w="15" w:type="dxa"/>
            <w:right w:w="15" w:type="dxa"/>
          </w:tblCellMar>
        </w:tblPrEx>
        <w:trPr>
          <w:trHeight w:val="312" w:hRule="atLeast"/>
          <w:jc w:val="center"/>
        </w:trPr>
        <w:tc>
          <w:tcPr>
            <w:tcW w:w="3240" w:type="dxa"/>
            <w:tcBorders>
              <w:top w:val="single" w:color="000000"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21C46050">
            <w:pPr>
              <w:widowControl/>
              <w:autoSpaceDE w:val="0"/>
              <w:autoSpaceDN w:val="0"/>
              <w:spacing w:line="240" w:lineRule="auto"/>
              <w:jc w:val="center"/>
              <w:rPr>
                <w:rFonts w:hint="eastAsia" w:ascii="宋体" w:hAnsi="宋体" w:cs="宋体"/>
                <w:kern w:val="0"/>
                <w:sz w:val="18"/>
                <w:szCs w:val="18"/>
              </w:rPr>
            </w:pPr>
            <w:r>
              <w:rPr>
                <w:rFonts w:hint="eastAsia" w:ascii="宋体" w:hAnsi="宋体" w:cs="宋体"/>
                <w:kern w:val="0"/>
                <w:sz w:val="18"/>
                <w:szCs w:val="18"/>
              </w:rPr>
              <w:t>沙门氏菌</w:t>
            </w:r>
          </w:p>
        </w:tc>
        <w:tc>
          <w:tcPr>
            <w:tcW w:w="4394" w:type="dxa"/>
            <w:tcBorders>
              <w:top w:val="single" w:color="CBCDD1"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05AFA572">
            <w:pPr>
              <w:widowControl/>
              <w:autoSpaceDE w:val="0"/>
              <w:autoSpaceDN w:val="0"/>
              <w:spacing w:line="240" w:lineRule="auto"/>
              <w:jc w:val="center"/>
              <w:rPr>
                <w:rFonts w:hint="eastAsia" w:ascii="宋体" w:hAnsi="宋体" w:cs="宋体"/>
                <w:kern w:val="0"/>
                <w:sz w:val="18"/>
                <w:szCs w:val="18"/>
              </w:rPr>
            </w:pPr>
            <w:r>
              <w:rPr>
                <w:rFonts w:hint="eastAsia" w:ascii="宋体" w:hAnsi="宋体" w:cs="宋体"/>
                <w:kern w:val="0"/>
                <w:sz w:val="18"/>
                <w:szCs w:val="18"/>
              </w:rPr>
              <w:t>应符合GB 29921的要求</w:t>
            </w:r>
          </w:p>
        </w:tc>
      </w:tr>
      <w:tr w14:paraId="675B8D4F">
        <w:tblPrEx>
          <w:tblCellMar>
            <w:top w:w="15" w:type="dxa"/>
            <w:left w:w="15" w:type="dxa"/>
            <w:bottom w:w="15" w:type="dxa"/>
            <w:right w:w="15" w:type="dxa"/>
          </w:tblCellMar>
        </w:tblPrEx>
        <w:trPr>
          <w:trHeight w:val="312" w:hRule="atLeast"/>
          <w:jc w:val="center"/>
        </w:trPr>
        <w:tc>
          <w:tcPr>
            <w:tcW w:w="3240" w:type="dxa"/>
            <w:tcBorders>
              <w:top w:val="single" w:color="000000"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221652B9">
            <w:pPr>
              <w:widowControl/>
              <w:autoSpaceDE w:val="0"/>
              <w:autoSpaceDN w:val="0"/>
              <w:spacing w:line="240" w:lineRule="auto"/>
              <w:jc w:val="center"/>
              <w:rPr>
                <w:rFonts w:hint="eastAsia" w:ascii="宋体" w:hAnsi="宋体" w:cs="宋体"/>
                <w:kern w:val="0"/>
                <w:sz w:val="18"/>
                <w:szCs w:val="18"/>
              </w:rPr>
            </w:pPr>
            <w:r>
              <w:rPr>
                <w:rFonts w:hint="eastAsia" w:ascii="宋体" w:hAnsi="宋体" w:cs="宋体"/>
                <w:kern w:val="0"/>
                <w:sz w:val="18"/>
                <w:szCs w:val="18"/>
              </w:rPr>
              <w:t>金黄色葡萄球菌</w:t>
            </w:r>
          </w:p>
        </w:tc>
        <w:tc>
          <w:tcPr>
            <w:tcW w:w="4394" w:type="dxa"/>
            <w:tcBorders>
              <w:top w:val="single" w:color="CBCDD1" w:sz="4" w:space="0"/>
              <w:left w:val="single" w:color="000000" w:sz="4" w:space="0"/>
              <w:bottom w:val="single" w:color="000000" w:sz="4" w:space="0"/>
              <w:right w:val="single" w:color="000000" w:sz="4" w:space="0"/>
            </w:tcBorders>
            <w:tcMar>
              <w:top w:w="0" w:type="dxa"/>
              <w:left w:w="86" w:type="dxa"/>
              <w:bottom w:w="0" w:type="dxa"/>
              <w:right w:w="86" w:type="dxa"/>
            </w:tcMar>
            <w:vAlign w:val="center"/>
          </w:tcPr>
          <w:p w14:paraId="4D7046DE">
            <w:pPr>
              <w:widowControl/>
              <w:autoSpaceDE w:val="0"/>
              <w:autoSpaceDN w:val="0"/>
              <w:spacing w:line="240" w:lineRule="auto"/>
              <w:jc w:val="center"/>
              <w:rPr>
                <w:rFonts w:hint="eastAsia" w:ascii="宋体" w:hAnsi="宋体" w:cs="宋体"/>
                <w:kern w:val="0"/>
                <w:sz w:val="18"/>
                <w:szCs w:val="18"/>
              </w:rPr>
            </w:pPr>
            <w:r>
              <w:rPr>
                <w:rFonts w:hint="eastAsia" w:ascii="宋体" w:hAnsi="宋体" w:cs="宋体"/>
                <w:kern w:val="0"/>
                <w:sz w:val="18"/>
                <w:szCs w:val="18"/>
              </w:rPr>
              <w:t>应符合GB 29921的要求</w:t>
            </w:r>
          </w:p>
        </w:tc>
      </w:tr>
    </w:tbl>
    <w:p w14:paraId="3E4907A9">
      <w:pPr>
        <w:pStyle w:val="63"/>
        <w:rPr>
          <w:rFonts w:hint="eastAsia" w:ascii="黑体" w:hAnsi="黑体" w:cs="黑体"/>
        </w:rPr>
      </w:pPr>
      <w:bookmarkStart w:id="142" w:name="_Toc19862"/>
      <w:bookmarkStart w:id="143" w:name="_Toc11692"/>
      <w:r>
        <w:rPr>
          <w:rFonts w:hint="eastAsia" w:ascii="黑体" w:hAnsi="黑体" w:cs="黑体"/>
        </w:rPr>
        <w:t>污染物限量</w:t>
      </w:r>
      <w:bookmarkEnd w:id="142"/>
      <w:bookmarkEnd w:id="143"/>
    </w:p>
    <w:p w14:paraId="12B7B0D2">
      <w:pPr>
        <w:spacing w:line="240" w:lineRule="auto"/>
        <w:ind w:firstLine="420" w:firstLineChars="200"/>
        <w:rPr>
          <w:rFonts w:hint="eastAsia" w:ascii="宋体" w:hAnsi="宋体" w:cs="宋体"/>
        </w:rPr>
      </w:pPr>
      <w:r>
        <w:rPr>
          <w:rFonts w:hint="eastAsia" w:ascii="宋体" w:hAnsi="宋体" w:cs="宋体"/>
        </w:rPr>
        <w:t>速冻鲜食玉米污染物限量应符合GB 2762的规定。</w:t>
      </w:r>
    </w:p>
    <w:p w14:paraId="2C071446">
      <w:pPr>
        <w:pStyle w:val="63"/>
        <w:rPr>
          <w:rFonts w:hint="eastAsia" w:ascii="黑体" w:hAnsi="黑体" w:cs="黑体"/>
        </w:rPr>
      </w:pPr>
      <w:bookmarkStart w:id="144" w:name="_Toc26819"/>
      <w:bookmarkStart w:id="145" w:name="_Toc5243"/>
      <w:r>
        <w:rPr>
          <w:rFonts w:hint="eastAsia" w:ascii="黑体" w:hAnsi="黑体" w:cs="黑体"/>
        </w:rPr>
        <w:t>农药残留限量</w:t>
      </w:r>
      <w:bookmarkEnd w:id="144"/>
      <w:bookmarkEnd w:id="145"/>
    </w:p>
    <w:p w14:paraId="26A18CCF">
      <w:pPr>
        <w:spacing w:line="240" w:lineRule="auto"/>
        <w:ind w:firstLine="420" w:firstLineChars="200"/>
        <w:rPr>
          <w:rFonts w:hint="eastAsia" w:ascii="宋体" w:hAnsi="宋体" w:cs="宋体"/>
        </w:rPr>
      </w:pPr>
      <w:r>
        <w:rPr>
          <w:rFonts w:hint="eastAsia" w:ascii="宋体" w:hAnsi="宋体" w:cs="宋体"/>
        </w:rPr>
        <w:t>速冻鲜食玉米农药残留限量应符合GB 2763的规定。</w:t>
      </w:r>
    </w:p>
    <w:p w14:paraId="1EA3B0B3">
      <w:pPr>
        <w:pStyle w:val="63"/>
        <w:rPr>
          <w:rFonts w:hint="eastAsia" w:ascii="黑体" w:hAnsi="黑体" w:cs="黑体"/>
        </w:rPr>
      </w:pPr>
      <w:bookmarkStart w:id="146" w:name="_Toc13028"/>
      <w:bookmarkStart w:id="147" w:name="_Toc30943"/>
      <w:r>
        <w:rPr>
          <w:rFonts w:hint="eastAsia" w:ascii="黑体" w:hAnsi="黑体" w:cs="黑体"/>
        </w:rPr>
        <w:t>生产加工过程的卫生要求</w:t>
      </w:r>
      <w:bookmarkEnd w:id="146"/>
      <w:bookmarkEnd w:id="147"/>
    </w:p>
    <w:p w14:paraId="08BE9228">
      <w:pPr>
        <w:spacing w:line="240" w:lineRule="auto"/>
        <w:ind w:firstLine="420" w:firstLineChars="200"/>
        <w:rPr>
          <w:rFonts w:hint="eastAsia" w:ascii="宋体" w:hAnsi="宋体" w:cs="宋体"/>
        </w:rPr>
      </w:pPr>
      <w:r>
        <w:rPr>
          <w:rFonts w:hint="eastAsia" w:ascii="宋体" w:hAnsi="宋体" w:cs="宋体"/>
        </w:rPr>
        <w:t>速冻鲜食玉米生产加工过程的卫生要求应符合GB 14881和GB 31646的规定。</w:t>
      </w:r>
    </w:p>
    <w:p w14:paraId="11F9B4D1">
      <w:pPr>
        <w:pStyle w:val="46"/>
      </w:pPr>
      <w:bookmarkStart w:id="148" w:name="_Toc26515"/>
      <w:bookmarkStart w:id="149" w:name="_Toc11376"/>
      <w:r>
        <w:rPr>
          <w:rFonts w:hint="eastAsia"/>
        </w:rPr>
        <w:t>产品检验</w:t>
      </w:r>
      <w:bookmarkEnd w:id="148"/>
      <w:bookmarkEnd w:id="149"/>
    </w:p>
    <w:p w14:paraId="339A76D1">
      <w:pPr>
        <w:pStyle w:val="59"/>
        <w:spacing w:before="156" w:beforeLines="50" w:after="156" w:afterLines="50"/>
        <w:rPr>
          <w:rFonts w:hint="eastAsia" w:hAnsi="黑体" w:cs="黑体"/>
        </w:rPr>
      </w:pPr>
      <w:bookmarkStart w:id="150" w:name="_Toc11766"/>
      <w:bookmarkStart w:id="151" w:name="_Toc31732"/>
      <w:r>
        <w:rPr>
          <w:rFonts w:hint="eastAsia" w:hAnsi="黑体" w:cs="黑体"/>
        </w:rPr>
        <w:t>感官指标检验</w:t>
      </w:r>
      <w:bookmarkEnd w:id="150"/>
      <w:bookmarkEnd w:id="151"/>
    </w:p>
    <w:p w14:paraId="47CCEEF1">
      <w:pPr>
        <w:pStyle w:val="55"/>
        <w:rPr>
          <w:rFonts w:hint="eastAsia" w:ascii="宋体" w:hAnsi="宋体" w:eastAsia="宋体" w:cs="宋体"/>
        </w:rPr>
      </w:pPr>
      <w:r>
        <w:rPr>
          <w:rFonts w:hint="eastAsia" w:ascii="宋体" w:hAnsi="宋体" w:eastAsia="宋体" w:cs="宋体"/>
        </w:rPr>
        <w:t>按GB 1353和GB/T 5494的规定检查速冻鲜食玉米的外观。</w:t>
      </w:r>
    </w:p>
    <w:p w14:paraId="1BF7642D">
      <w:pPr>
        <w:pStyle w:val="55"/>
        <w:rPr>
          <w:rFonts w:hint="eastAsia" w:ascii="宋体" w:hAnsi="宋体" w:eastAsia="宋体" w:cs="宋体"/>
        </w:rPr>
      </w:pPr>
      <w:r>
        <w:rPr>
          <w:rFonts w:hint="eastAsia" w:ascii="宋体" w:hAnsi="宋体" w:eastAsia="宋体" w:cs="宋体"/>
        </w:rPr>
        <w:t>按GB/T 5494的规定检查速冻鲜食玉米的杂质情况。</w:t>
      </w:r>
    </w:p>
    <w:p w14:paraId="7CCAD6E7">
      <w:pPr>
        <w:pStyle w:val="55"/>
        <w:rPr>
          <w:rFonts w:hint="eastAsia" w:ascii="宋体" w:hAnsi="宋体" w:eastAsia="宋体" w:cs="宋体"/>
        </w:rPr>
      </w:pPr>
      <w:r>
        <w:rPr>
          <w:rFonts w:hint="eastAsia" w:ascii="宋体" w:hAnsi="宋体" w:eastAsia="宋体" w:cs="宋体"/>
        </w:rPr>
        <w:t>按GB/T 5492的规定检查速冻鲜食玉米的气味。</w:t>
      </w:r>
    </w:p>
    <w:p w14:paraId="0CA363D7">
      <w:pPr>
        <w:pStyle w:val="55"/>
        <w:rPr>
          <w:rFonts w:hint="eastAsia" w:ascii="宋体" w:hAnsi="宋体" w:eastAsia="宋体" w:cs="宋体"/>
        </w:rPr>
      </w:pPr>
      <w:r>
        <w:rPr>
          <w:rFonts w:hint="eastAsia" w:ascii="宋体" w:hAnsi="宋体" w:eastAsia="宋体" w:cs="宋体"/>
        </w:rPr>
        <w:t>按GB/T 5492的规定检查速冻鲜食玉米的色泽。</w:t>
      </w:r>
    </w:p>
    <w:p w14:paraId="7339F5C3">
      <w:pPr>
        <w:pStyle w:val="59"/>
        <w:spacing w:before="156" w:beforeLines="50" w:after="156" w:afterLines="50"/>
        <w:rPr>
          <w:rFonts w:hint="eastAsia" w:hAnsi="黑体" w:cs="黑体"/>
        </w:rPr>
      </w:pPr>
      <w:bookmarkStart w:id="152" w:name="_Toc22887"/>
      <w:bookmarkStart w:id="153" w:name="_Toc16437"/>
      <w:r>
        <w:rPr>
          <w:rFonts w:hint="eastAsia" w:hAnsi="黑体" w:cs="黑体"/>
        </w:rPr>
        <w:t>理化指标检验</w:t>
      </w:r>
      <w:bookmarkEnd w:id="152"/>
      <w:bookmarkEnd w:id="153"/>
    </w:p>
    <w:p w14:paraId="11961EB2">
      <w:pPr>
        <w:pStyle w:val="46"/>
        <w:numPr>
          <w:ilvl w:val="3"/>
          <w:numId w:val="1"/>
        </w:numPr>
        <w:spacing w:before="120" w:beforeLines="0" w:after="120" w:afterLines="0"/>
        <w:outlineLvl w:val="2"/>
      </w:pPr>
      <w:bookmarkStart w:id="154" w:name="_Toc195628951"/>
      <w:bookmarkStart w:id="155" w:name="_Toc195806972"/>
      <w:r>
        <w:rPr>
          <w:rFonts w:hint="eastAsia"/>
        </w:rPr>
        <w:t>果穗长度检验</w:t>
      </w:r>
    </w:p>
    <w:p w14:paraId="47245906">
      <w:pPr>
        <w:adjustRightInd/>
        <w:spacing w:line="240" w:lineRule="auto"/>
        <w:ind w:firstLine="420" w:firstLineChars="200"/>
        <w:rPr>
          <w:rFonts w:hint="eastAsia" w:ascii="宋体" w:hAnsi="宋体" w:cs="宋体"/>
        </w:rPr>
      </w:pPr>
      <w:r>
        <w:rPr>
          <w:rFonts w:hint="eastAsia" w:ascii="宋体" w:hAnsi="宋体" w:cs="宋体"/>
        </w:rPr>
        <w:t>用精度不低于0.1 mm的游标卡尺测量玉米的长度。</w:t>
      </w:r>
    </w:p>
    <w:p w14:paraId="58780429">
      <w:pPr>
        <w:pStyle w:val="46"/>
        <w:numPr>
          <w:ilvl w:val="3"/>
          <w:numId w:val="1"/>
        </w:numPr>
        <w:spacing w:before="120" w:beforeLines="0" w:after="120" w:afterLines="0"/>
        <w:outlineLvl w:val="2"/>
      </w:pPr>
      <w:r>
        <w:rPr>
          <w:rFonts w:hint="eastAsia"/>
        </w:rPr>
        <w:t>水分</w:t>
      </w:r>
      <w:bookmarkEnd w:id="154"/>
      <w:bookmarkEnd w:id="155"/>
      <w:r>
        <w:rPr>
          <w:rFonts w:hint="eastAsia"/>
        </w:rPr>
        <w:t>检验</w:t>
      </w:r>
    </w:p>
    <w:p w14:paraId="0F446F97">
      <w:pPr>
        <w:pStyle w:val="49"/>
        <w:rPr>
          <w:rFonts w:hint="eastAsia" w:ascii="宋体" w:hAnsi="宋体" w:cs="宋体"/>
        </w:rPr>
      </w:pPr>
      <w:r>
        <w:rPr>
          <w:rFonts w:hint="eastAsia" w:ascii="宋体" w:hAnsi="宋体" w:cs="宋体"/>
        </w:rPr>
        <w:t>按GB 5009.3的规定检测速冻鲜食玉米的水分含量。</w:t>
      </w:r>
    </w:p>
    <w:p w14:paraId="4F79AD66">
      <w:pPr>
        <w:pStyle w:val="46"/>
        <w:numPr>
          <w:ilvl w:val="3"/>
          <w:numId w:val="1"/>
        </w:numPr>
        <w:spacing w:before="120" w:beforeLines="0" w:after="120" w:afterLines="0"/>
        <w:outlineLvl w:val="2"/>
      </w:pPr>
      <w:bookmarkStart w:id="156" w:name="_Toc195806973"/>
      <w:r>
        <w:rPr>
          <w:rFonts w:hint="eastAsia"/>
        </w:rPr>
        <w:t>蛋白质</w:t>
      </w:r>
      <w:bookmarkEnd w:id="156"/>
      <w:r>
        <w:rPr>
          <w:rFonts w:hint="eastAsia"/>
        </w:rPr>
        <w:t>检验</w:t>
      </w:r>
    </w:p>
    <w:p w14:paraId="09FE0F14">
      <w:pPr>
        <w:pStyle w:val="49"/>
        <w:rPr>
          <w:rFonts w:hint="eastAsia" w:ascii="宋体" w:hAnsi="宋体" w:cs="宋体"/>
        </w:rPr>
      </w:pPr>
      <w:r>
        <w:rPr>
          <w:rFonts w:hint="eastAsia" w:ascii="宋体" w:hAnsi="宋体" w:cs="宋体"/>
        </w:rPr>
        <w:t>按GB 5009.5的规定检测速冻鲜食玉米的蛋白质含量。</w:t>
      </w:r>
    </w:p>
    <w:p w14:paraId="729530C1">
      <w:pPr>
        <w:pStyle w:val="46"/>
        <w:numPr>
          <w:ilvl w:val="3"/>
          <w:numId w:val="1"/>
        </w:numPr>
        <w:spacing w:before="120" w:beforeLines="0" w:after="120" w:afterLines="0"/>
        <w:outlineLvl w:val="2"/>
      </w:pPr>
      <w:bookmarkStart w:id="157" w:name="_Toc195806974"/>
      <w:r>
        <w:rPr>
          <w:rFonts w:hint="eastAsia"/>
        </w:rPr>
        <w:t>膳食纤维</w:t>
      </w:r>
      <w:bookmarkEnd w:id="157"/>
      <w:r>
        <w:rPr>
          <w:rFonts w:hint="eastAsia"/>
        </w:rPr>
        <w:t>检验</w:t>
      </w:r>
    </w:p>
    <w:p w14:paraId="607C48AF">
      <w:pPr>
        <w:pStyle w:val="49"/>
        <w:rPr>
          <w:rFonts w:hint="eastAsia" w:ascii="宋体" w:hAnsi="宋体" w:cs="宋体"/>
        </w:rPr>
      </w:pPr>
      <w:r>
        <w:rPr>
          <w:rFonts w:hint="eastAsia" w:ascii="宋体" w:hAnsi="宋体" w:cs="宋体"/>
        </w:rPr>
        <w:t>按GB 5009.88的规定检测速冻鲜食玉米的膳食纤维含量。</w:t>
      </w:r>
    </w:p>
    <w:p w14:paraId="1AFD430F">
      <w:pPr>
        <w:pStyle w:val="46"/>
        <w:numPr>
          <w:ilvl w:val="3"/>
          <w:numId w:val="1"/>
        </w:numPr>
        <w:spacing w:before="120" w:beforeLines="0" w:after="120" w:afterLines="0"/>
        <w:outlineLvl w:val="2"/>
      </w:pPr>
      <w:bookmarkStart w:id="158" w:name="_Toc195806976"/>
      <w:r>
        <w:rPr>
          <w:rFonts w:hint="eastAsia"/>
        </w:rPr>
        <w:t>直链淀粉</w:t>
      </w:r>
      <w:bookmarkEnd w:id="158"/>
      <w:r>
        <w:rPr>
          <w:rFonts w:hint="eastAsia"/>
        </w:rPr>
        <w:t>检验</w:t>
      </w:r>
    </w:p>
    <w:p w14:paraId="010255FE">
      <w:pPr>
        <w:pStyle w:val="49"/>
        <w:rPr>
          <w:rFonts w:hint="eastAsia" w:ascii="宋体" w:hAnsi="宋体" w:cs="宋体"/>
        </w:rPr>
      </w:pPr>
      <w:r>
        <w:rPr>
          <w:rFonts w:hint="eastAsia" w:ascii="宋体" w:hAnsi="宋体" w:cs="宋体"/>
        </w:rPr>
        <w:t>按GB 7648的规定检测速冻鲜食玉米的直链淀粉含量。</w:t>
      </w:r>
    </w:p>
    <w:p w14:paraId="51A9A5F3">
      <w:pPr>
        <w:pStyle w:val="46"/>
        <w:numPr>
          <w:ilvl w:val="3"/>
          <w:numId w:val="1"/>
        </w:numPr>
        <w:spacing w:before="120" w:beforeLines="0" w:after="120" w:afterLines="0"/>
        <w:outlineLvl w:val="2"/>
      </w:pPr>
      <w:bookmarkStart w:id="159" w:name="_Toc195806977"/>
      <w:r>
        <w:rPr>
          <w:rFonts w:hint="eastAsia"/>
        </w:rPr>
        <w:t>可溶性糖</w:t>
      </w:r>
      <w:bookmarkEnd w:id="159"/>
      <w:r>
        <w:rPr>
          <w:rFonts w:hint="eastAsia"/>
        </w:rPr>
        <w:t>检验</w:t>
      </w:r>
    </w:p>
    <w:p w14:paraId="7450295A">
      <w:pPr>
        <w:pStyle w:val="49"/>
        <w:rPr>
          <w:rFonts w:hint="eastAsia" w:ascii="宋体" w:hAnsi="宋体" w:cs="宋体"/>
        </w:rPr>
      </w:pPr>
      <w:r>
        <w:rPr>
          <w:rFonts w:hint="eastAsia" w:ascii="宋体" w:hAnsi="宋体" w:cs="宋体"/>
        </w:rPr>
        <w:t>按NY/T 1278的规定检测速冻鲜食玉米的可溶性糖含量。</w:t>
      </w:r>
    </w:p>
    <w:p w14:paraId="424F5157">
      <w:pPr>
        <w:pStyle w:val="46"/>
        <w:numPr>
          <w:ilvl w:val="3"/>
          <w:numId w:val="1"/>
        </w:numPr>
        <w:spacing w:before="120" w:beforeLines="0" w:after="120" w:afterLines="0"/>
        <w:outlineLvl w:val="2"/>
      </w:pPr>
      <w:bookmarkStart w:id="160" w:name="_Toc195806978"/>
      <w:r>
        <w:rPr>
          <w:rFonts w:hint="eastAsia"/>
        </w:rPr>
        <w:t>可溶性固形物</w:t>
      </w:r>
      <w:bookmarkEnd w:id="160"/>
      <w:r>
        <w:rPr>
          <w:rFonts w:hint="eastAsia"/>
        </w:rPr>
        <w:t>检验</w:t>
      </w:r>
    </w:p>
    <w:p w14:paraId="77F042F4">
      <w:pPr>
        <w:pStyle w:val="49"/>
        <w:rPr>
          <w:rFonts w:hint="eastAsia" w:ascii="宋体" w:hAnsi="宋体" w:cs="宋体"/>
        </w:rPr>
      </w:pPr>
      <w:r>
        <w:rPr>
          <w:rFonts w:hint="eastAsia" w:ascii="宋体" w:hAnsi="宋体" w:cs="宋体"/>
        </w:rPr>
        <w:t>按NY/T 2637的规定检测速冻鲜食玉米的可溶性固形物含量。</w:t>
      </w:r>
    </w:p>
    <w:p w14:paraId="57458E5D">
      <w:pPr>
        <w:pStyle w:val="46"/>
        <w:numPr>
          <w:ilvl w:val="3"/>
          <w:numId w:val="1"/>
        </w:numPr>
        <w:spacing w:before="120" w:beforeLines="0" w:after="120" w:afterLines="0"/>
        <w:outlineLvl w:val="2"/>
      </w:pPr>
      <w:bookmarkStart w:id="161" w:name="_Toc195806979"/>
      <w:r>
        <w:rPr>
          <w:rFonts w:hint="eastAsia"/>
        </w:rPr>
        <w:t>皮渣率</w:t>
      </w:r>
      <w:bookmarkEnd w:id="161"/>
      <w:r>
        <w:rPr>
          <w:rFonts w:hint="eastAsia"/>
        </w:rPr>
        <w:t>检验</w:t>
      </w:r>
    </w:p>
    <w:p w14:paraId="22736C37">
      <w:pPr>
        <w:pStyle w:val="49"/>
        <w:rPr>
          <w:rStyle w:val="32"/>
          <w:rFonts w:hint="eastAsia" w:ascii="宋体" w:hAnsi="宋体" w:cs="宋体"/>
        </w:rPr>
      </w:pPr>
      <w:r>
        <w:rPr>
          <w:rFonts w:hint="eastAsia" w:ascii="宋体" w:hAnsi="宋体" w:cs="宋体"/>
          <w:kern w:val="0"/>
        </w:rPr>
        <w:t>从速冻鲜食玉米中随机抽取100粒玉米籽粒并剥出果皮，将玉米籽粒果皮和去皮后的玉米籽粒内容物放入烘箱，65 ℃烘至恒重后按公式（1）计算皮渣率，重复进行三次</w:t>
      </w:r>
      <w:r>
        <w:rPr>
          <w:rFonts w:hint="eastAsia" w:ascii="宋体" w:hAnsi="宋体" w:cs="宋体"/>
        </w:rPr>
        <w:t>。</w:t>
      </w:r>
    </w:p>
    <w:p w14:paraId="410B3912">
      <w:pPr>
        <w:tabs>
          <w:tab w:val="center" w:leader="middleDot" w:pos="5250"/>
          <w:tab w:val="center" w:pos="31680"/>
        </w:tabs>
        <w:autoSpaceDE w:val="0"/>
        <w:autoSpaceDN w:val="0"/>
        <w:adjustRightInd/>
        <w:spacing w:line="240" w:lineRule="auto"/>
        <w:ind w:firstLine="420"/>
        <w:jc w:val="right"/>
        <w:rPr>
          <w:rFonts w:ascii="Times New Roman" w:hAnsi="Times New Roman"/>
          <w:i/>
          <w:color w:val="000000" w:themeColor="text1"/>
          <w14:textFill>
            <w14:solidFill>
              <w14:schemeClr w14:val="tx1"/>
            </w14:solidFill>
          </w14:textFill>
        </w:rPr>
      </w:pPr>
      <m:oMath>
        <m:r>
          <m:rPr/>
          <w:rPr>
            <w:rFonts w:ascii="Cambria Math" w:hAnsi="Cambria Math"/>
            <w:color w:val="000000" w:themeColor="text1"/>
            <w14:textFill>
              <w14:solidFill>
                <w14:schemeClr w14:val="tx1"/>
              </w14:solidFill>
            </w14:textFill>
          </w:rPr>
          <m:t>R=</m:t>
        </m:r>
        <m:f>
          <m:fPr>
            <m:ctrlPr>
              <w:rPr>
                <w:rFonts w:ascii="Cambria Math" w:hAnsi="Cambria Math"/>
                <w:i/>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M</m:t>
                </m:r>
                <m:ctrlPr>
                  <w:rPr>
                    <w:rFonts w:ascii="Cambria Math" w:hAnsi="Cambria Math"/>
                    <w:i/>
                    <w:color w:val="000000" w:themeColor="text1"/>
                    <w14:textFill>
                      <w14:solidFill>
                        <w14:schemeClr w14:val="tx1"/>
                      </w14:solidFill>
                    </w14:textFill>
                  </w:rPr>
                </m:ctrlPr>
              </m:e>
              <m:sub>
                <m:r>
                  <m:rPr/>
                  <w:rPr>
                    <w:rFonts w:hint="eastAsia" w:ascii="Cambria Math" w:hAnsi="Cambria Math"/>
                    <w:color w:val="000000" w:themeColor="text1"/>
                    <w14:textFill>
                      <w14:solidFill>
                        <w14:schemeClr w14:val="tx1"/>
                      </w14:solidFill>
                    </w14:textFill>
                  </w:rPr>
                  <m:t>1</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num>
          <m:den>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M</m:t>
                </m:r>
                <m:ctrlPr>
                  <w:rPr>
                    <w:rFonts w:ascii="Cambria Math" w:hAnsi="Cambria Math"/>
                    <w:i/>
                    <w:color w:val="000000" w:themeColor="text1"/>
                    <w14:textFill>
                      <w14:solidFill>
                        <w14:schemeClr w14:val="tx1"/>
                      </w14:solidFill>
                    </w14:textFill>
                  </w:rPr>
                </m:ctrlPr>
              </m:e>
              <m:sub>
                <m:r>
                  <m:rPr/>
                  <w:rPr>
                    <w:rFonts w:hint="eastAsia" w:ascii="Cambria Math" w:hAnsi="Cambria Math"/>
                    <w:color w:val="000000" w:themeColor="text1"/>
                    <w14:textFill>
                      <w14:solidFill>
                        <w14:schemeClr w14:val="tx1"/>
                      </w14:solidFill>
                    </w14:textFill>
                  </w:rPr>
                  <m:t>1</m:t>
                </m:r>
                <m:ctrlPr>
                  <w:rPr>
                    <w:rFonts w:ascii="Cambria Math" w:hAnsi="Cambria Math"/>
                    <w:i/>
                    <w:color w:val="000000" w:themeColor="text1"/>
                    <w14:textFill>
                      <w14:solidFill>
                        <w14:schemeClr w14:val="tx1"/>
                      </w14:solidFill>
                    </w14:textFill>
                  </w:rPr>
                </m:ctrlPr>
              </m:sub>
            </m:sSub>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+M</m:t>
                </m:r>
                <m:ctrlPr>
                  <w:rPr>
                    <w:rFonts w:ascii="Cambria Math" w:hAnsi="Cambria Math"/>
                    <w:i/>
                    <w:color w:val="000000" w:themeColor="text1"/>
                    <w14:textFill>
                      <w14:solidFill>
                        <w14:schemeClr w14:val="tx1"/>
                      </w14:solidFill>
                    </w14:textFill>
                  </w:rPr>
                </m:ctrlPr>
              </m:e>
              <m:sub>
                <m:r>
                  <m:rPr/>
                  <w:rPr>
                    <w:rFonts w:hint="eastAsia" w:ascii="Cambria Math" w:hAnsi="Cambria Math"/>
                    <w:color w:val="000000" w:themeColor="text1"/>
                    <w14:textFill>
                      <w14:solidFill>
                        <w14:schemeClr w14:val="tx1"/>
                      </w14:solidFill>
                    </w14:textFill>
                  </w:rPr>
                  <m:t>2</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den>
        </m:f>
        <m:r>
          <m:rPr/>
          <w:rPr>
            <w:rFonts w:ascii="Cambria Math" w:hAnsi="Cambria Math"/>
            <w:color w:val="000000" w:themeColor="text1"/>
            <w14:textFill>
              <w14:solidFill>
                <w14:schemeClr w14:val="tx1"/>
              </w14:solidFill>
            </w14:textFill>
          </w:rPr>
          <m:t>×100%</m:t>
        </m:r>
      </m:oMath>
      <w:r>
        <w:rPr>
          <w:rFonts w:ascii="Times New Roman" w:hAnsi="Times New Roman"/>
          <w:i/>
          <w:color w:val="000000" w:themeColor="text1"/>
          <w14:textFill>
            <w14:solidFill>
              <w14:schemeClr w14:val="tx1"/>
            </w14:solidFill>
          </w14:textFill>
        </w:rPr>
        <w:tab/>
      </w:r>
      <w:r>
        <w:rPr>
          <w:rFonts w:ascii="Times New Roman" w:hAnsi="Times New Roman"/>
          <w:iCs/>
          <w:color w:val="000000" w:themeColor="text1"/>
          <w14:textFill>
            <w14:solidFill>
              <w14:schemeClr w14:val="tx1"/>
            </w14:solidFill>
          </w14:textFill>
        </w:rPr>
        <w:t>（</w:t>
      </w:r>
      <w:r>
        <w:rPr>
          <w:rFonts w:hint="eastAsia" w:ascii="Times New Roman" w:hAnsi="Times New Roman"/>
          <w:iCs/>
          <w:color w:val="000000" w:themeColor="text1"/>
          <w14:textFill>
            <w14:solidFill>
              <w14:schemeClr w14:val="tx1"/>
            </w14:solidFill>
          </w14:textFill>
        </w:rPr>
        <w:t>1</w:t>
      </w:r>
      <w:r>
        <w:rPr>
          <w:rFonts w:ascii="Times New Roman" w:hAnsi="Times New Roman"/>
          <w:iCs/>
          <w:color w:val="000000" w:themeColor="text1"/>
          <w14:textFill>
            <w14:solidFill>
              <w14:schemeClr w14:val="tx1"/>
            </w14:solidFill>
          </w14:textFill>
        </w:rPr>
        <w:t>）</w:t>
      </w:r>
    </w:p>
    <w:p w14:paraId="66993F21">
      <w:pPr>
        <w:pStyle w:val="49"/>
        <w:rPr>
          <w:rStyle w:val="32"/>
          <w:rFonts w:hint="eastAsia" w:ascii="宋体" w:hAnsi="宋体" w:cs="宋体"/>
        </w:rPr>
      </w:pPr>
      <w:r>
        <w:rPr>
          <w:rStyle w:val="32"/>
          <w:rFonts w:hint="eastAsia" w:ascii="宋体" w:hAnsi="宋体" w:cs="宋体"/>
        </w:rPr>
        <w:t>式中：</w:t>
      </w:r>
    </w:p>
    <w:p w14:paraId="2017BBCB">
      <w:pPr>
        <w:pStyle w:val="48"/>
        <w:ind w:firstLine="420"/>
        <w:rPr>
          <w:rFonts w:hint="eastAsia"/>
          <w:color w:val="000000" w:themeColor="text1"/>
          <w14:textFill>
            <w14:solidFill>
              <w14:schemeClr w14:val="tx1"/>
            </w14:solidFill>
          </w14:textFill>
        </w:rPr>
      </w:pPr>
      <m:oMath>
        <m:r>
          <m:rPr/>
          <w:rPr>
            <w:rFonts w:ascii="Cambria Math" w:hAnsi="Cambria Math"/>
            <w:color w:val="000000" w:themeColor="text1"/>
            <w14:textFill>
              <w14:solidFill>
                <w14:schemeClr w14:val="tx1"/>
              </w14:solidFill>
            </w14:textFill>
          </w:rPr>
          <m:t>R</m:t>
        </m:r>
        <m:r>
          <m:rPr/>
          <w:rPr>
            <w:rFonts w:hint="eastAsia" w:ascii="Cambria Math" w:hAnsi="Cambria Math"/>
            <w:color w:val="000000" w:themeColor="text1"/>
            <w14:textFill>
              <w14:solidFill>
                <w14:schemeClr w14:val="tx1"/>
              </w14:solidFill>
            </w14:textFill>
          </w:rPr>
          <m:t xml:space="preserve"> </m:t>
        </m:r>
      </m:oMath>
      <w:r>
        <w:rPr>
          <w:rFonts w:hint="eastAsia"/>
          <w:color w:val="000000" w:themeColor="text1"/>
          <w14:textFill>
            <w14:solidFill>
              <w14:schemeClr w14:val="tx1"/>
            </w14:solidFill>
          </w14:textFill>
        </w:rPr>
        <w:t>——皮渣率，单位为%；</w:t>
      </w:r>
    </w:p>
    <w:p w14:paraId="498C1650">
      <w:pPr>
        <w:pStyle w:val="49"/>
        <w:rPr>
          <w:rStyle w:val="32"/>
          <w:rFonts w:hint="eastAsia" w:ascii="宋体" w:hAnsi="宋体" w:cs="宋体"/>
        </w:rPr>
      </w:pPr>
      <m:oMath>
        <m:sSub>
          <m:sSubPr>
            <m:ctrlPr>
              <w:rPr>
                <w:rFonts w:hint="eastAsia" w:ascii="Cambria Math" w:hAnsi="Cambria Math" w:cs="宋体"/>
                <w:i/>
                <w:color w:val="000000" w:themeColor="text1"/>
                <w14:textFill>
                  <w14:solidFill>
                    <w14:schemeClr w14:val="tx1"/>
                  </w14:solidFill>
                </w14:textFill>
              </w:rPr>
            </m:ctrlPr>
          </m:sSubPr>
          <m:e>
            <m:r>
              <m:rPr/>
              <w:rPr>
                <w:rFonts w:hint="eastAsia" w:ascii="Cambria Math" w:hAnsi="Cambria Math" w:cs="宋体"/>
                <w:color w:val="000000" w:themeColor="text1"/>
                <w14:textFill>
                  <w14:solidFill>
                    <w14:schemeClr w14:val="tx1"/>
                  </w14:solidFill>
                </w14:textFill>
              </w:rPr>
              <m:t>M</m:t>
            </m:r>
            <m:ctrlPr>
              <w:rPr>
                <w:rFonts w:hint="eastAsia" w:ascii="Cambria Math" w:hAnsi="Cambria Math" w:cs="宋体"/>
                <w:i/>
                <w:color w:val="000000" w:themeColor="text1"/>
                <w14:textFill>
                  <w14:solidFill>
                    <w14:schemeClr w14:val="tx1"/>
                  </w14:solidFill>
                </w14:textFill>
              </w:rPr>
            </m:ctrlPr>
          </m:e>
          <m:sub>
            <m:r>
              <m:rPr/>
              <w:rPr>
                <w:rFonts w:hint="eastAsia" w:ascii="Cambria Math" w:hAnsi="Cambria Math" w:cs="宋体"/>
                <w:color w:val="000000" w:themeColor="text1"/>
                <w14:textFill>
                  <w14:solidFill>
                    <w14:schemeClr w14:val="tx1"/>
                  </w14:solidFill>
                </w14:textFill>
              </w:rPr>
              <m:t>1</m:t>
            </m:r>
            <m:ctrlPr>
              <w:rPr>
                <w:rFonts w:hint="eastAsia" w:ascii="Cambria Math" w:hAnsi="Cambria Math" w:cs="宋体"/>
                <w:i/>
                <w:color w:val="000000" w:themeColor="text1"/>
                <w14:textFill>
                  <w14:solidFill>
                    <w14:schemeClr w14:val="tx1"/>
                  </w14:solidFill>
                </w14:textFill>
              </w:rPr>
            </m:ctrlPr>
          </m:sub>
        </m:sSub>
        <m:r>
          <m:rPr/>
          <w:rPr>
            <w:rFonts w:hint="eastAsia" w:ascii="Cambria Math" w:hAnsi="Cambria Math" w:cs="宋体"/>
            <w:color w:val="000000" w:themeColor="text1"/>
            <w14:textFill>
              <w14:solidFill>
                <w14:schemeClr w14:val="tx1"/>
              </w14:solidFill>
            </w14:textFill>
          </w:rPr>
          <m:t xml:space="preserve"> </m:t>
        </m:r>
      </m:oMath>
      <w:r>
        <w:rPr>
          <w:rStyle w:val="32"/>
          <w:rFonts w:hint="eastAsia" w:ascii="宋体" w:hAnsi="宋体" w:cs="宋体"/>
        </w:rPr>
        <w:t>——100粒玉米籽粒果皮烘干后质量，单位为克（g）；</w:t>
      </w:r>
    </w:p>
    <w:p w14:paraId="1E40E46A">
      <w:pPr>
        <w:pStyle w:val="49"/>
        <w:rPr>
          <w:rStyle w:val="32"/>
          <w:rFonts w:hint="eastAsia" w:ascii="宋体" w:hAnsi="宋体" w:cs="宋体"/>
        </w:rPr>
      </w:pPr>
      <m:oMath>
        <m:sSub>
          <m:sSubPr>
            <m:ctrlPr>
              <w:rPr>
                <w:rFonts w:hint="eastAsia" w:ascii="Cambria Math" w:hAnsi="Cambria Math" w:cs="宋体"/>
                <w:i/>
                <w:color w:val="000000" w:themeColor="text1"/>
                <w14:textFill>
                  <w14:solidFill>
                    <w14:schemeClr w14:val="tx1"/>
                  </w14:solidFill>
                </w14:textFill>
              </w:rPr>
            </m:ctrlPr>
          </m:sSubPr>
          <m:e>
            <m:r>
              <m:rPr/>
              <w:rPr>
                <w:rFonts w:hint="eastAsia" w:ascii="Cambria Math" w:hAnsi="Cambria Math" w:cs="宋体"/>
                <w:color w:val="000000" w:themeColor="text1"/>
                <w14:textFill>
                  <w14:solidFill>
                    <w14:schemeClr w14:val="tx1"/>
                  </w14:solidFill>
                </w14:textFill>
              </w:rPr>
              <m:t>M</m:t>
            </m:r>
            <m:ctrlPr>
              <w:rPr>
                <w:rFonts w:hint="eastAsia" w:ascii="Cambria Math" w:hAnsi="Cambria Math" w:cs="宋体"/>
                <w:i/>
                <w:color w:val="000000" w:themeColor="text1"/>
                <w14:textFill>
                  <w14:solidFill>
                    <w14:schemeClr w14:val="tx1"/>
                  </w14:solidFill>
                </w14:textFill>
              </w:rPr>
            </m:ctrlPr>
          </m:e>
          <m:sub>
            <m:r>
              <m:rPr/>
              <w:rPr>
                <w:rFonts w:hint="eastAsia" w:ascii="Cambria Math" w:hAnsi="Cambria Math" w:cs="宋体"/>
                <w:color w:val="000000" w:themeColor="text1"/>
                <w14:textFill>
                  <w14:solidFill>
                    <w14:schemeClr w14:val="tx1"/>
                  </w14:solidFill>
                </w14:textFill>
              </w:rPr>
              <m:t>2</m:t>
            </m:r>
            <m:ctrlPr>
              <w:rPr>
                <w:rFonts w:hint="eastAsia" w:ascii="Cambria Math" w:hAnsi="Cambria Math" w:cs="宋体"/>
                <w:i/>
                <w:color w:val="000000" w:themeColor="text1"/>
                <w14:textFill>
                  <w14:solidFill>
                    <w14:schemeClr w14:val="tx1"/>
                  </w14:solidFill>
                </w14:textFill>
              </w:rPr>
            </m:ctrlPr>
          </m:sub>
        </m:sSub>
        <m:r>
          <m:rPr/>
          <w:rPr>
            <w:rFonts w:hint="eastAsia" w:ascii="Cambria Math" w:hAnsi="Cambria Math" w:cs="宋体"/>
            <w:color w:val="000000" w:themeColor="text1"/>
            <w14:textFill>
              <w14:solidFill>
                <w14:schemeClr w14:val="tx1"/>
              </w14:solidFill>
            </w14:textFill>
          </w:rPr>
          <m:t xml:space="preserve"> </m:t>
        </m:r>
      </m:oMath>
      <w:r>
        <w:rPr>
          <w:rStyle w:val="32"/>
          <w:rFonts w:hint="eastAsia" w:ascii="宋体" w:hAnsi="宋体" w:cs="宋体"/>
        </w:rPr>
        <w:t>——100粒去皮玉米籽粒内容物烘干后质量，单位为克（g）。</w:t>
      </w:r>
    </w:p>
    <w:p w14:paraId="3A8778D2">
      <w:pPr>
        <w:pStyle w:val="59"/>
        <w:spacing w:before="156" w:beforeLines="50" w:after="156" w:afterLines="50"/>
        <w:rPr>
          <w:rFonts w:hint="eastAsia" w:hAnsi="黑体" w:cs="黑体"/>
        </w:rPr>
      </w:pPr>
      <w:bookmarkStart w:id="162" w:name="_Toc25908"/>
      <w:bookmarkStart w:id="163" w:name="_Toc30969"/>
      <w:r>
        <w:rPr>
          <w:rFonts w:hint="eastAsia" w:hAnsi="黑体" w:cs="黑体"/>
        </w:rPr>
        <w:t>微生物检验</w:t>
      </w:r>
      <w:bookmarkEnd w:id="162"/>
      <w:bookmarkEnd w:id="163"/>
    </w:p>
    <w:p w14:paraId="7A32E09C">
      <w:pPr>
        <w:pStyle w:val="46"/>
        <w:numPr>
          <w:ilvl w:val="3"/>
          <w:numId w:val="1"/>
        </w:numPr>
        <w:spacing w:before="120" w:beforeLines="0" w:after="120" w:afterLines="0"/>
        <w:outlineLvl w:val="2"/>
      </w:pPr>
      <w:bookmarkStart w:id="164" w:name="_Toc195806981"/>
      <w:r>
        <w:rPr>
          <w:rFonts w:hint="eastAsia"/>
        </w:rPr>
        <w:t>菌落总数</w:t>
      </w:r>
      <w:bookmarkEnd w:id="164"/>
      <w:r>
        <w:rPr>
          <w:rFonts w:hint="eastAsia"/>
        </w:rPr>
        <w:t>检验</w:t>
      </w:r>
    </w:p>
    <w:p w14:paraId="0CDFB617">
      <w:pPr>
        <w:pStyle w:val="49"/>
        <w:rPr>
          <w:rFonts w:hint="eastAsia" w:ascii="宋体" w:hAnsi="宋体" w:cs="宋体"/>
          <w:kern w:val="0"/>
        </w:rPr>
      </w:pPr>
      <w:r>
        <w:rPr>
          <w:rFonts w:hint="eastAsia" w:ascii="宋体" w:hAnsi="宋体" w:cs="宋体"/>
        </w:rPr>
        <w:t>按</w:t>
      </w:r>
      <w:r>
        <w:rPr>
          <w:rFonts w:hint="eastAsia" w:ascii="宋体" w:hAnsi="宋体" w:cs="宋体"/>
          <w:kern w:val="0"/>
        </w:rPr>
        <w:t>GB 4789.2的</w:t>
      </w:r>
      <w:r>
        <w:rPr>
          <w:rFonts w:hint="eastAsia" w:ascii="宋体" w:hAnsi="宋体" w:cs="宋体"/>
        </w:rPr>
        <w:t>规定检测速冻鲜食玉米的菌落总数</w:t>
      </w:r>
      <w:r>
        <w:rPr>
          <w:rFonts w:hint="eastAsia" w:ascii="宋体" w:hAnsi="宋体" w:cs="宋体"/>
          <w:kern w:val="0"/>
        </w:rPr>
        <w:t>。</w:t>
      </w:r>
    </w:p>
    <w:p w14:paraId="7D5935BE">
      <w:pPr>
        <w:pStyle w:val="46"/>
        <w:numPr>
          <w:ilvl w:val="3"/>
          <w:numId w:val="1"/>
        </w:numPr>
        <w:spacing w:before="120" w:beforeLines="0" w:after="120" w:afterLines="0"/>
        <w:outlineLvl w:val="2"/>
        <w:rPr>
          <w:rFonts w:hint="eastAsia" w:ascii="宋体" w:hAnsi="宋体"/>
        </w:rPr>
      </w:pPr>
      <w:bookmarkStart w:id="165" w:name="_Toc195806982"/>
      <w:r>
        <w:rPr>
          <w:rFonts w:hint="eastAsia" w:ascii="宋体" w:hAnsi="宋体"/>
        </w:rPr>
        <w:t>大肠菌落</w:t>
      </w:r>
      <w:bookmarkEnd w:id="165"/>
      <w:r>
        <w:rPr>
          <w:rFonts w:hint="eastAsia"/>
        </w:rPr>
        <w:t>检验</w:t>
      </w:r>
    </w:p>
    <w:p w14:paraId="626FAC5D">
      <w:pPr>
        <w:pStyle w:val="49"/>
        <w:rPr>
          <w:rFonts w:hint="eastAsia" w:ascii="宋体" w:hAnsi="宋体" w:cs="宋体"/>
          <w:kern w:val="0"/>
        </w:rPr>
      </w:pPr>
      <w:r>
        <w:rPr>
          <w:rFonts w:hint="eastAsia" w:ascii="宋体" w:hAnsi="宋体" w:cs="宋体"/>
          <w:kern w:val="0"/>
        </w:rPr>
        <w:t>按GB 4789.3的</w:t>
      </w:r>
      <w:r>
        <w:rPr>
          <w:rFonts w:hint="eastAsia" w:ascii="宋体" w:hAnsi="宋体" w:cs="宋体"/>
        </w:rPr>
        <w:t>规定检测速冻鲜食玉米的大肠杆菌数量</w:t>
      </w:r>
      <w:r>
        <w:rPr>
          <w:rFonts w:hint="eastAsia" w:ascii="宋体" w:hAnsi="宋体" w:cs="宋体"/>
          <w:kern w:val="0"/>
        </w:rPr>
        <w:t>。</w:t>
      </w:r>
    </w:p>
    <w:p w14:paraId="71344CD1">
      <w:pPr>
        <w:pStyle w:val="46"/>
        <w:numPr>
          <w:ilvl w:val="3"/>
          <w:numId w:val="1"/>
        </w:numPr>
        <w:spacing w:before="120" w:beforeLines="0" w:after="120" w:afterLines="0"/>
        <w:outlineLvl w:val="2"/>
        <w:rPr>
          <w:rFonts w:hint="eastAsia" w:ascii="宋体" w:hAnsi="宋体"/>
        </w:rPr>
      </w:pPr>
      <w:bookmarkStart w:id="166" w:name="_Toc195806983"/>
      <w:r>
        <w:rPr>
          <w:rFonts w:hint="eastAsia" w:ascii="宋体" w:hAnsi="宋体"/>
        </w:rPr>
        <w:t>沙门氏菌</w:t>
      </w:r>
      <w:bookmarkEnd w:id="166"/>
      <w:r>
        <w:rPr>
          <w:rFonts w:hint="eastAsia"/>
        </w:rPr>
        <w:t>检验</w:t>
      </w:r>
    </w:p>
    <w:p w14:paraId="7E73D061">
      <w:pPr>
        <w:pStyle w:val="49"/>
        <w:rPr>
          <w:rFonts w:hint="eastAsia" w:ascii="宋体" w:hAnsi="宋体" w:cs="宋体"/>
          <w:kern w:val="0"/>
        </w:rPr>
      </w:pPr>
      <w:r>
        <w:rPr>
          <w:rFonts w:hint="eastAsia" w:ascii="宋体" w:hAnsi="宋体" w:cs="宋体"/>
          <w:kern w:val="0"/>
        </w:rPr>
        <w:t>按GB 4789.4的</w:t>
      </w:r>
      <w:r>
        <w:rPr>
          <w:rFonts w:hint="eastAsia" w:ascii="宋体" w:hAnsi="宋体" w:cs="宋体"/>
        </w:rPr>
        <w:t>规定检测速冻鲜食玉米的沙门氏菌数量</w:t>
      </w:r>
      <w:r>
        <w:rPr>
          <w:rFonts w:hint="eastAsia" w:ascii="宋体" w:hAnsi="宋体" w:cs="宋体"/>
          <w:kern w:val="0"/>
        </w:rPr>
        <w:t>。</w:t>
      </w:r>
    </w:p>
    <w:p w14:paraId="3C0E0D27">
      <w:pPr>
        <w:pStyle w:val="46"/>
        <w:numPr>
          <w:ilvl w:val="3"/>
          <w:numId w:val="1"/>
        </w:numPr>
        <w:spacing w:before="120" w:beforeLines="0" w:after="120" w:afterLines="0"/>
        <w:outlineLvl w:val="2"/>
      </w:pPr>
      <w:bookmarkStart w:id="167" w:name="_Toc195806984"/>
      <w:r>
        <w:rPr>
          <w:rFonts w:hint="eastAsia" w:ascii="宋体" w:hAnsi="宋体"/>
        </w:rPr>
        <w:t>金黄色葡萄球菌</w:t>
      </w:r>
      <w:bookmarkEnd w:id="167"/>
      <w:r>
        <w:rPr>
          <w:rFonts w:hint="eastAsia"/>
        </w:rPr>
        <w:t>检验</w:t>
      </w:r>
    </w:p>
    <w:p w14:paraId="021B6B03">
      <w:pPr>
        <w:pStyle w:val="49"/>
        <w:rPr>
          <w:rFonts w:hint="eastAsia" w:ascii="宋体" w:hAnsi="宋体" w:cs="宋体"/>
          <w:kern w:val="0"/>
        </w:rPr>
      </w:pPr>
      <w:r>
        <w:rPr>
          <w:rFonts w:hint="eastAsia" w:ascii="宋体" w:hAnsi="宋体" w:cs="宋体"/>
          <w:kern w:val="0"/>
        </w:rPr>
        <w:t>按GB 4789.10的</w:t>
      </w:r>
      <w:r>
        <w:rPr>
          <w:rFonts w:hint="eastAsia" w:ascii="宋体" w:hAnsi="宋体" w:cs="宋体"/>
        </w:rPr>
        <w:t>规定检测速冻鲜食玉米的金黄色葡萄球菌数量</w:t>
      </w:r>
      <w:r>
        <w:rPr>
          <w:rFonts w:hint="eastAsia" w:ascii="宋体" w:hAnsi="宋体" w:cs="宋体"/>
          <w:kern w:val="0"/>
        </w:rPr>
        <w:t>。</w:t>
      </w:r>
    </w:p>
    <w:p w14:paraId="70E4FD65">
      <w:pPr>
        <w:pStyle w:val="59"/>
        <w:spacing w:before="156" w:beforeLines="50" w:after="156" w:afterLines="50"/>
        <w:rPr>
          <w:rFonts w:hint="eastAsia" w:hAnsi="黑体" w:cs="黑体"/>
        </w:rPr>
      </w:pPr>
      <w:bookmarkStart w:id="168" w:name="_Toc24259"/>
      <w:bookmarkStart w:id="169" w:name="_Toc32546"/>
      <w:r>
        <w:rPr>
          <w:rFonts w:hint="eastAsia" w:hAnsi="黑体" w:cs="黑体"/>
        </w:rPr>
        <w:t>污染物检验</w:t>
      </w:r>
      <w:bookmarkEnd w:id="168"/>
      <w:bookmarkEnd w:id="169"/>
    </w:p>
    <w:p w14:paraId="1BDA0B73">
      <w:pPr>
        <w:pStyle w:val="48"/>
        <w:ind w:firstLine="420"/>
        <w:rPr>
          <w:rFonts w:hint="eastAsia"/>
          <w:kern w:val="0"/>
        </w:rPr>
      </w:pPr>
      <w:r>
        <w:rPr>
          <w:rFonts w:hint="eastAsia"/>
          <w:kern w:val="0"/>
        </w:rPr>
        <w:t>按GB 2762的规定检测速冻鲜食玉米的污染物数量。</w:t>
      </w:r>
    </w:p>
    <w:p w14:paraId="16F5F9A5">
      <w:pPr>
        <w:pStyle w:val="59"/>
        <w:spacing w:before="156" w:beforeLines="50" w:after="156" w:afterLines="50"/>
        <w:rPr>
          <w:rFonts w:hint="eastAsia" w:hAnsi="黑体" w:cs="黑体"/>
        </w:rPr>
      </w:pPr>
      <w:bookmarkStart w:id="170" w:name="_Toc8529"/>
      <w:bookmarkStart w:id="171" w:name="_Toc15367"/>
      <w:r>
        <w:rPr>
          <w:rFonts w:hint="eastAsia" w:hAnsi="黑体" w:cs="黑体"/>
        </w:rPr>
        <w:t>农药残留检验</w:t>
      </w:r>
      <w:bookmarkEnd w:id="170"/>
      <w:bookmarkEnd w:id="171"/>
    </w:p>
    <w:p w14:paraId="7576F1A0">
      <w:pPr>
        <w:pStyle w:val="48"/>
        <w:ind w:firstLine="420"/>
        <w:rPr>
          <w:rFonts w:hint="eastAsia"/>
          <w:kern w:val="0"/>
        </w:rPr>
      </w:pPr>
      <w:r>
        <w:rPr>
          <w:rFonts w:hint="eastAsia"/>
          <w:kern w:val="0"/>
        </w:rPr>
        <w:t>按GB 2763的规定检测速冻鲜食玉米的农药残留数量。</w:t>
      </w:r>
    </w:p>
    <w:p w14:paraId="6F207A4A">
      <w:pPr>
        <w:pStyle w:val="59"/>
        <w:spacing w:before="156" w:beforeLines="50" w:after="156" w:afterLines="50"/>
        <w:rPr>
          <w:rFonts w:hint="eastAsia" w:hAnsi="黑体" w:cs="黑体"/>
        </w:rPr>
      </w:pPr>
      <w:bookmarkStart w:id="172" w:name="_Toc13562"/>
      <w:bookmarkStart w:id="173" w:name="_Toc31126"/>
      <w:r>
        <w:rPr>
          <w:rFonts w:hint="eastAsia" w:hAnsi="黑体" w:cs="黑体"/>
        </w:rPr>
        <w:t>生产加工过程的卫生要求检查</w:t>
      </w:r>
      <w:bookmarkEnd w:id="172"/>
      <w:bookmarkEnd w:id="173"/>
    </w:p>
    <w:p w14:paraId="4C0049C4">
      <w:pPr>
        <w:pStyle w:val="48"/>
        <w:ind w:firstLine="420"/>
        <w:rPr>
          <w:rFonts w:hint="eastAsia"/>
          <w:kern w:val="0"/>
        </w:rPr>
      </w:pPr>
      <w:r>
        <w:rPr>
          <w:rFonts w:hint="eastAsia"/>
        </w:rPr>
        <w:t>按GB 14881和GB 31646的规定</w:t>
      </w:r>
      <w:r>
        <w:rPr>
          <w:rFonts w:hint="eastAsia"/>
          <w:color w:val="000000"/>
        </w:rPr>
        <w:t>检查速冻鲜食玉米生产加工过程的卫生情况。</w:t>
      </w:r>
    </w:p>
    <w:p w14:paraId="421AB8CC">
      <w:pPr>
        <w:pStyle w:val="46"/>
      </w:pPr>
      <w:bookmarkStart w:id="174" w:name="_Toc21085"/>
      <w:bookmarkStart w:id="175" w:name="_Toc3121"/>
      <w:bookmarkStart w:id="176" w:name="_Toc9221"/>
      <w:r>
        <w:rPr>
          <w:rFonts w:hint="eastAsia"/>
        </w:rPr>
        <w:t>记录</w:t>
      </w:r>
      <w:bookmarkEnd w:id="174"/>
      <w:bookmarkEnd w:id="175"/>
      <w:bookmarkEnd w:id="176"/>
    </w:p>
    <w:p w14:paraId="163046B9">
      <w:pPr>
        <w:pStyle w:val="59"/>
        <w:outlineLvl w:val="2"/>
        <w:rPr>
          <w:rStyle w:val="86"/>
          <w:rFonts w:hint="eastAsia" w:ascii="宋体" w:hAnsi="宋体" w:eastAsia="宋体" w:cs="宋体"/>
        </w:rPr>
      </w:pPr>
      <w:bookmarkStart w:id="177" w:name="_Toc15727"/>
      <w:bookmarkStart w:id="178" w:name="_Toc5631"/>
      <w:r>
        <w:rPr>
          <w:rStyle w:val="86"/>
          <w:rFonts w:hint="eastAsia" w:ascii="宋体" w:hAnsi="宋体" w:eastAsia="宋体" w:cs="宋体"/>
        </w:rPr>
        <w:t>应建立记录保管制度，对原料玉米穗接收、加工过程和出厂产品要求等信息进行记录。</w:t>
      </w:r>
      <w:bookmarkEnd w:id="177"/>
      <w:bookmarkEnd w:id="178"/>
    </w:p>
    <w:p w14:paraId="5515EE2A">
      <w:pPr>
        <w:pStyle w:val="59"/>
        <w:outlineLvl w:val="2"/>
        <w:rPr>
          <w:rStyle w:val="86"/>
          <w:rFonts w:hint="eastAsia" w:ascii="宋体" w:hAnsi="宋体" w:eastAsia="宋体" w:cs="宋体"/>
        </w:rPr>
      </w:pPr>
      <w:bookmarkStart w:id="179" w:name="_Toc1356"/>
      <w:bookmarkStart w:id="180" w:name="_Toc27818"/>
      <w:r>
        <w:rPr>
          <w:rStyle w:val="86"/>
          <w:rFonts w:hint="eastAsia" w:ascii="宋体" w:hAnsi="宋体" w:eastAsia="宋体" w:cs="宋体"/>
        </w:rPr>
        <w:t>原料玉米穗接收记录信息内容应至少包括接收日期、品种、来源、规格、数量和检验验收情况等。</w:t>
      </w:r>
      <w:bookmarkEnd w:id="179"/>
      <w:bookmarkEnd w:id="180"/>
    </w:p>
    <w:p w14:paraId="455E9B9F">
      <w:pPr>
        <w:pStyle w:val="59"/>
        <w:outlineLvl w:val="2"/>
        <w:rPr>
          <w:rStyle w:val="86"/>
          <w:rFonts w:hint="eastAsia" w:ascii="宋体" w:hAnsi="宋体" w:eastAsia="宋体" w:cs="宋体"/>
        </w:rPr>
      </w:pPr>
      <w:bookmarkStart w:id="181" w:name="_Toc3117"/>
      <w:bookmarkStart w:id="182" w:name="_Toc13779"/>
      <w:r>
        <w:rPr>
          <w:rStyle w:val="86"/>
          <w:rFonts w:hint="eastAsia" w:ascii="宋体" w:hAnsi="宋体" w:eastAsia="宋体" w:cs="宋体"/>
        </w:rPr>
        <w:t>加工过程记录信息内容应包括玉米穗新鲜度、蒸煮工序记录温度和处理时间、冷却沥干工序记录温度和处理时间、速冻工序记录温度和处理时间等。</w:t>
      </w:r>
      <w:bookmarkEnd w:id="181"/>
      <w:bookmarkEnd w:id="182"/>
    </w:p>
    <w:p w14:paraId="5984FED9">
      <w:pPr>
        <w:pStyle w:val="59"/>
        <w:outlineLvl w:val="2"/>
        <w:rPr>
          <w:rStyle w:val="86"/>
          <w:rFonts w:hint="eastAsia" w:ascii="宋体" w:hAnsi="宋体" w:eastAsia="宋体" w:cs="宋体"/>
        </w:rPr>
      </w:pPr>
      <w:bookmarkStart w:id="183" w:name="_Toc14863"/>
      <w:bookmarkStart w:id="184" w:name="_Toc12049"/>
      <w:r>
        <w:rPr>
          <w:rStyle w:val="86"/>
          <w:rFonts w:hint="eastAsia" w:ascii="宋体" w:hAnsi="宋体" w:eastAsia="宋体" w:cs="宋体"/>
        </w:rPr>
        <w:t>产品记录信息内容应包括生产批号、生产日期、生产班组、产品数量和规格、产品检验记录等。</w:t>
      </w:r>
      <w:bookmarkEnd w:id="183"/>
      <w:bookmarkEnd w:id="184"/>
    </w:p>
    <w:p w14:paraId="5E31ADBC">
      <w:pPr>
        <w:pStyle w:val="59"/>
        <w:outlineLvl w:val="2"/>
        <w:rPr>
          <w:rStyle w:val="86"/>
          <w:rFonts w:hint="eastAsia" w:ascii="宋体" w:hAnsi="宋体" w:eastAsia="宋体" w:cs="宋体"/>
        </w:rPr>
      </w:pPr>
      <w:bookmarkStart w:id="185" w:name="_Toc26364"/>
      <w:bookmarkStart w:id="186" w:name="_Toc30884"/>
      <w:r>
        <w:rPr>
          <w:rStyle w:val="86"/>
          <w:rFonts w:hint="eastAsia" w:ascii="宋体" w:hAnsi="宋体" w:eastAsia="宋体" w:cs="宋体"/>
        </w:rPr>
        <w:t>所有记录文件保存期限不应少于</w:t>
      </w:r>
      <w:r>
        <w:rPr>
          <w:rStyle w:val="86"/>
          <w:rFonts w:ascii="宋体" w:hAnsi="宋体" w:eastAsia="宋体" w:cs="宋体"/>
        </w:rPr>
        <w:t>2</w:t>
      </w:r>
      <w:r>
        <w:rPr>
          <w:rStyle w:val="86"/>
          <w:rFonts w:hint="eastAsia" w:ascii="宋体" w:hAnsi="宋体" w:eastAsia="宋体" w:cs="宋体"/>
        </w:rPr>
        <w:t>年。</w:t>
      </w:r>
      <w:bookmarkEnd w:id="185"/>
      <w:bookmarkEnd w:id="186"/>
    </w:p>
    <w:p w14:paraId="32E2FC82">
      <w:pPr>
        <w:pStyle w:val="72"/>
        <w:spacing w:before="0" w:beforeLines="0" w:after="0" w:afterLines="0"/>
        <w:rPr>
          <w:rFonts w:eastAsia="宋体"/>
        </w:rPr>
      </w:pPr>
    </w:p>
    <w:p w14:paraId="48FDE0B1">
      <w:pPr>
        <w:pStyle w:val="49"/>
        <w:ind w:firstLine="0" w:firstLineChars="0"/>
      </w:pPr>
    </w:p>
    <w:p w14:paraId="4EA1BB7E">
      <w:pPr>
        <w:pStyle w:val="49"/>
        <w:ind w:firstLine="0" w:firstLineChars="0"/>
      </w:pPr>
    </w:p>
    <w:p w14:paraId="2DA2BEC5">
      <w:pPr>
        <w:pStyle w:val="49"/>
        <w:ind w:firstLine="0" w:firstLineChars="0"/>
      </w:pPr>
      <w:r>
        <mc:AlternateContent>
          <mc:Choice Requires="wps">
            <w:drawing>
              <wp:anchor distT="0" distB="0" distL="114300" distR="114300" simplePos="0" relativeHeight="251660288" behindDoc="0" locked="0" layoutInCell="1" allowOverlap="1">
                <wp:simplePos x="0" y="0"/>
                <wp:positionH relativeFrom="column">
                  <wp:posOffset>2235200</wp:posOffset>
                </wp:positionH>
                <wp:positionV relativeFrom="paragraph">
                  <wp:posOffset>12700</wp:posOffset>
                </wp:positionV>
                <wp:extent cx="1461135" cy="0"/>
                <wp:effectExtent l="0" t="0" r="24765" b="19050"/>
                <wp:wrapNone/>
                <wp:docPr id="3" name="直接连接符 3"/>
                <wp:cNvGraphicFramePr/>
                <a:graphic xmlns:a="http://schemas.openxmlformats.org/drawingml/2006/main">
                  <a:graphicData uri="http://schemas.microsoft.com/office/word/2010/wordprocessingShape">
                    <wps:wsp>
                      <wps:cNvCnPr/>
                      <wps:spPr>
                        <a:xfrm>
                          <a:off x="0" y="0"/>
                          <a:ext cx="14611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6pt;margin-top:1pt;height:0pt;width:115.05pt;z-index:251660288;mso-width-relative:page;mso-height-relative:page;" filled="f" stroked="t" coordsize="21600,21600" o:gfxdata="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ndUjR1gAAAAcB&#10;AAAPAAAAAAAAAAEAIAAAACIAAABkcnMvZG93bnJldi54bWxQSwECFAAUAAAACACHTuJATOGgxeQB&#10;AACyAwAADgAAAAAAAAABACAAAAAlAQAAZHJzL2Uyb0RvYy54bWxQSwUGAAAAAAYABgBZAQAAewUA&#10;AAAA&#10;">
                <v:fill on="f" focussize="0,0"/>
                <v:stroke weight="1pt" color="#000000 [3213]" miterlimit="8" joinstyle="miter"/>
                <v:imagedata o:title=""/>
                <o:lock v:ext="edit" aspectratio="f"/>
              </v:line>
            </w:pict>
          </mc:Fallback>
        </mc:AlternateContent>
      </w:r>
    </w:p>
    <w:p w14:paraId="577D57EB">
      <w:pPr>
        <w:pStyle w:val="49"/>
        <w:ind w:firstLine="0" w:firstLineChars="0"/>
      </w:pPr>
    </w:p>
    <w:p w14:paraId="7EA2AFBA">
      <w:pPr>
        <w:pStyle w:val="49"/>
        <w:ind w:firstLine="0" w:firstLineChars="0"/>
      </w:pPr>
    </w:p>
    <w:p w14:paraId="423C7F36">
      <w:pPr>
        <w:pStyle w:val="49"/>
        <w:ind w:firstLine="0" w:firstLineChars="0"/>
      </w:pPr>
    </w:p>
    <w:p w14:paraId="25E91236">
      <w:pPr>
        <w:pStyle w:val="49"/>
        <w:ind w:firstLine="0" w:firstLineChars="0"/>
      </w:pPr>
    </w:p>
    <w:p w14:paraId="796C620D">
      <w:pPr>
        <w:pStyle w:val="49"/>
        <w:ind w:firstLine="0" w:firstLineChars="0"/>
      </w:pPr>
    </w:p>
    <w:p w14:paraId="4DFA9504">
      <w:pPr>
        <w:pStyle w:val="49"/>
        <w:ind w:firstLine="0" w:firstLineChars="0"/>
      </w:pPr>
    </w:p>
    <w:p w14:paraId="2133A3E1">
      <w:pPr>
        <w:pStyle w:val="49"/>
        <w:ind w:firstLine="0" w:firstLineChars="0"/>
      </w:pPr>
    </w:p>
    <w:p w14:paraId="5522B804">
      <w:pPr>
        <w:pStyle w:val="49"/>
        <w:ind w:firstLine="0" w:firstLineChars="0"/>
      </w:pPr>
    </w:p>
    <w:p w14:paraId="2FFA6405">
      <w:pPr>
        <w:pStyle w:val="49"/>
        <w:ind w:firstLine="0" w:firstLineChars="0"/>
      </w:pPr>
    </w:p>
    <w:p w14:paraId="33DBE33E">
      <w:pPr>
        <w:pStyle w:val="49"/>
        <w:ind w:firstLine="0" w:firstLineChars="0"/>
      </w:pPr>
    </w:p>
    <w:p w14:paraId="15A989AF">
      <w:pPr>
        <w:pStyle w:val="49"/>
        <w:ind w:firstLine="0" w:firstLineChars="0"/>
      </w:pPr>
    </w:p>
    <w:p w14:paraId="2413AEFB">
      <w:pPr>
        <w:pStyle w:val="49"/>
        <w:ind w:firstLine="0" w:firstLineChars="0"/>
      </w:pPr>
    </w:p>
    <w:p w14:paraId="222C93B3">
      <w:pPr>
        <w:pStyle w:val="49"/>
        <w:ind w:firstLine="0" w:firstLineChars="0"/>
      </w:pPr>
    </w:p>
    <w:p w14:paraId="232AFC91">
      <w:pPr>
        <w:pStyle w:val="49"/>
        <w:ind w:firstLine="0" w:firstLineChars="0"/>
      </w:pPr>
    </w:p>
    <w:p w14:paraId="4328058A">
      <w:pPr>
        <w:pStyle w:val="49"/>
        <w:ind w:firstLine="0" w:firstLineChars="0"/>
      </w:pPr>
    </w:p>
    <w:p w14:paraId="7169682E">
      <w:pPr>
        <w:pStyle w:val="49"/>
        <w:ind w:firstLine="0" w:firstLineChars="0"/>
      </w:pPr>
    </w:p>
    <w:p w14:paraId="73CE9FDF">
      <w:pPr>
        <w:pStyle w:val="49"/>
        <w:ind w:firstLine="0" w:firstLineChars="0"/>
      </w:pPr>
    </w:p>
    <w:p w14:paraId="58D83542">
      <w:pPr>
        <w:pStyle w:val="49"/>
        <w:ind w:firstLine="0" w:firstLineChars="0"/>
      </w:pPr>
    </w:p>
    <w:p w14:paraId="797FF991">
      <w:pPr>
        <w:pStyle w:val="49"/>
        <w:ind w:firstLine="0" w:firstLineChars="0"/>
      </w:pPr>
    </w:p>
    <w:p w14:paraId="3D9632A7">
      <w:pPr>
        <w:pStyle w:val="49"/>
        <w:ind w:firstLine="0" w:firstLineChars="0"/>
      </w:pPr>
    </w:p>
    <w:p w14:paraId="4621F7A0">
      <w:pPr>
        <w:spacing w:line="320" w:lineRule="exact"/>
        <w:rPr>
          <w:rFonts w:ascii="黑体" w:eastAsia="黑体"/>
          <w:b/>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5372100" cy="0"/>
                <wp:effectExtent l="0" t="19050" r="19050" b="3810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ckThin">
                          <a:solidFill>
                            <a:srgbClr val="000000"/>
                          </a:solidFill>
                          <a:round/>
                        </a:ln>
                      </wps:spPr>
                      <wps:bodyPr/>
                    </wps:wsp>
                  </a:graphicData>
                </a:graphic>
              </wp:anchor>
            </w:drawing>
          </mc:Choice>
          <mc:Fallback>
            <w:pict>
              <v:line id="_x0000_s1026" o:spid="_x0000_s1026" o:spt="20" style="position:absolute;left:0pt;margin-left:0pt;margin-top:0.05pt;height:0pt;width:423pt;z-index:251662336;mso-width-relative:page;mso-height-relative:page;" filled="f" stroked="t" coordsize="21600,21600" o:gfxdata="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EZj7zgAA&#10;AAIBAAAPAAAAAAAAAAEAIAAAACIAAABkcnMvZG93bnJldi54bWxQSwECFAAUAAAACACHTuJACS6G&#10;eu8BAAC+AwAADgAAAAAAAAABACAAAAAdAQAAZHJzL2Uyb0RvYy54bWxQSwUGAAAAAAYABgBZAQAA&#10;fgUAAAAA&#10;">
                <v:fill on="f" focussize="0,0"/>
                <v:stroke weight="4.5pt" color="#000000" linestyle="thickThin" joinstyle="round"/>
                <v:imagedata o:title=""/>
                <o:lock v:ext="edit" aspectratio="f"/>
              </v:line>
            </w:pict>
          </mc:Fallback>
        </mc:AlternateContent>
      </w:r>
      <w:r>
        <w:rPr>
          <w:rFonts w:ascii="黑体" w:eastAsia="黑体"/>
          <w:szCs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675005</wp:posOffset>
                </wp:positionV>
                <wp:extent cx="5372100" cy="0"/>
                <wp:effectExtent l="0" t="19050" r="38100" b="38100"/>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nThick">
                          <a:solidFill>
                            <a:srgbClr val="000000"/>
                          </a:solidFill>
                          <a:round/>
                        </a:ln>
                      </wps:spPr>
                      <wps:bodyPr/>
                    </wps:wsp>
                  </a:graphicData>
                </a:graphic>
              </wp:anchor>
            </w:drawing>
          </mc:Choice>
          <mc:Fallback>
            <w:pict>
              <v:line id="_x0000_s1026" o:spid="_x0000_s1026" o:spt="20" style="position:absolute;left:0pt;margin-left:0pt;margin-top:53.15pt;height:0pt;width:423pt;z-index:251663360;mso-width-relative:page;mso-height-relative:page;" filled="f" stroked="t" coordsize="21600,21600" o:gfxdata="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57K/1gAAAAgBAAAPAAAAAAAAAAEAIAAAACIAAABkcnMvZG93bnJldi54bWxQSwECFAAUAAAA&#10;CACHTuJAM01+AvABAAC+AwAADgAAAAAAAAABACAAAAAlAQAAZHJzL2Uyb0RvYy54bWxQSwUGAAAA&#10;AAYABgBZAQAAhwUAAAAA&#10;">
                <v:fill on="f" focussize="0,0"/>
                <v:stroke weight="4.5pt" color="#000000" linestyle="thinThick" joinstyle="round"/>
                <v:imagedata o:title=""/>
                <o:lock v:ext="edit" aspectratio="f"/>
              </v:line>
            </w:pict>
          </mc:Fallback>
        </mc:AlternateContent>
      </w:r>
      <w:r>
        <w:rPr>
          <w:rFonts w:ascii="黑体" w:eastAsia="黑体"/>
          <w:b/>
        </w:rPr>
        <w:t>ICS 67.260</w:t>
      </w:r>
    </w:p>
    <w:p w14:paraId="20258F7E">
      <w:pPr>
        <w:spacing w:line="320" w:lineRule="exact"/>
        <w:rPr>
          <w:rFonts w:ascii="黑体" w:eastAsia="黑体"/>
          <w:b/>
        </w:rPr>
      </w:pPr>
      <w:r>
        <w:rPr>
          <w:rFonts w:ascii="黑体" w:eastAsia="黑体"/>
          <w:b/>
        </w:rPr>
        <w:t>X 99</w:t>
      </w:r>
    </w:p>
    <w:p w14:paraId="5BFE8A7F">
      <w:pPr>
        <w:spacing w:line="320" w:lineRule="exact"/>
        <w:rPr>
          <w:rFonts w:ascii="黑体" w:eastAsia="黑体"/>
        </w:rPr>
      </w:pPr>
      <w:r>
        <w:rPr>
          <w:rFonts w:hint="eastAsia" w:ascii="黑体" w:eastAsia="黑体"/>
          <w:b/>
        </w:rPr>
        <w:t>关键词：鲜食玉米、速冻、技术规范</w:t>
      </w:r>
    </w:p>
    <w:sectPr>
      <w:pgSz w:w="11906" w:h="16838"/>
      <w:pgMar w:top="1418" w:right="1418" w:bottom="1134" w:left="1418" w:header="1417" w:footer="1134"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64E8">
    <w:pPr>
      <w:pStyle w:val="17"/>
      <w:spacing w:line="240" w:lineRule="auto"/>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A1F91">
    <w:pPr>
      <w:pStyle w:val="17"/>
      <w:spacing w:line="240" w:lineRule="auto"/>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II</w:t>
    </w:r>
    <w:r>
      <w:rPr>
        <w:rFonts w:ascii="Times New Roman" w:hAnsi="Times New Roman"/>
        <w:cap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F1AC5">
    <w:pPr>
      <w:pStyle w:val="17"/>
      <w:spacing w:line="240" w:lineRule="auto"/>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FC7FA">
    <w:pPr>
      <w:pStyle w:val="17"/>
      <w:spacing w:line="240" w:lineRule="auto"/>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III</w:t>
    </w:r>
    <w:r>
      <w:rPr>
        <w:rFonts w:ascii="Times New Roman" w:hAnsi="Times New Roman"/>
        <w:caps/>
        <w:color w:val="000000" w:themeColor="text1"/>
        <w14:textFill>
          <w14:solidFill>
            <w14:schemeClr w14:val="tx1"/>
          </w14:solidFill>
        </w14:textFil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52563">
    <w:pPr>
      <w:pStyle w:val="17"/>
      <w:spacing w:line="240" w:lineRule="auto"/>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2</w:t>
    </w:r>
    <w:r>
      <w:rPr>
        <w:rFonts w:ascii="Times New Roman" w:hAnsi="Times New Roman"/>
        <w:cap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AE1F9">
    <w:pPr>
      <w:pStyle w:val="17"/>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1</w:t>
    </w:r>
    <w:r>
      <w:rPr>
        <w:rFonts w:ascii="Times New Roman" w:hAnsi="Times New Roman"/>
        <w:caps/>
        <w:color w:val="000000" w:themeColor="text1"/>
        <w14:textFill>
          <w14:solidFill>
            <w14:schemeClr w14:val="tx1"/>
          </w14:solidFill>
        </w14:textFi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D0FAC">
    <w:pPr>
      <w:spacing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1.1</w:t>
    </w:r>
    <w:r>
      <w:rPr>
        <w:rFonts w:hint="eastAsia" w:ascii="Times New Roman" w:hAnsi="Times New Roman" w:eastAsia="黑体"/>
        <w:b/>
      </w:rPr>
      <w:t>—2</w:t>
    </w:r>
    <w:r>
      <w:rPr>
        <w:rFonts w:ascii="Times New Roman" w:hAnsi="Times New Roman" w:eastAsia="黑体"/>
        <w:b/>
      </w:rPr>
      <w:t>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5CF59">
    <w:pPr>
      <w:spacing w:line="240" w:lineRule="auto"/>
      <w:rPr>
        <w:rFonts w:ascii="Times New Roman" w:hAnsi="Times New Roman" w:eastAsia="黑体"/>
        <w:b/>
      </w:rPr>
    </w:pPr>
    <w:r>
      <w:rPr>
        <w:rFonts w:ascii="Times New Roman" w:hAnsi="Times New Roman" w:eastAsia="黑体"/>
        <w:b/>
      </w:rPr>
      <w:t>T/CMES 1.1</w:t>
    </w:r>
    <w:r>
      <w:rPr>
        <w:rFonts w:hint="eastAsia" w:ascii="Times New Roman" w:hAnsi="Times New Roman" w:eastAsia="黑体"/>
        <w:b/>
      </w:rPr>
      <w:t>—2</w:t>
    </w:r>
    <w:r>
      <w:rPr>
        <w:rFonts w:ascii="Times New Roman" w:hAnsi="Times New Roman" w:eastAsia="黑体"/>
        <w:b/>
      </w:rPr>
      <w:t>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C0BDF">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82AE3">
    <w:pPr>
      <w:spacing w:after="284" w:line="240" w:lineRule="auto"/>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XXXX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0587B">
    <w:pPr>
      <w:spacing w:line="240" w:lineRule="auto"/>
      <w:jc w:val="righ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CMES 1.1</w:t>
    </w:r>
    <w:r>
      <w:rPr>
        <w:rFonts w:hint="eastAsia" w:ascii="Times New Roman" w:hAnsi="Times New Roman" w:eastAsia="黑体"/>
        <w:b/>
      </w:rPr>
      <w:t>—2</w:t>
    </w:r>
    <w:r>
      <w:rPr>
        <w:rFonts w:ascii="Times New Roman" w:hAnsi="Times New Roman" w:eastAsia="黑体"/>
        <w:b/>
      </w:rPr>
      <w:t>01X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2B980">
    <w:pPr>
      <w:spacing w:after="284" w:line="240" w:lineRule="auto"/>
      <w:jc w:val="right"/>
      <w:rPr>
        <w:rFonts w:ascii="Times New Roman" w:hAnsi="Times New Roman" w:eastAsia="黑体"/>
        <w:b/>
      </w:rPr>
    </w:pPr>
    <w:r>
      <w:rPr>
        <w:rFonts w:ascii="Times New Roman" w:hAnsi="Times New Roman" w:eastAsia="黑体"/>
        <w:b/>
      </w:rPr>
      <w:t xml:space="preserve">T/CMES </w:t>
    </w:r>
    <w:r>
      <w:rPr>
        <w:rFonts w:hint="eastAsia" w:ascii="Times New Roman" w:hAnsi="Times New Roman" w:eastAsia="黑体"/>
        <w:b/>
      </w:rPr>
      <w:t>XXXX—2</w:t>
    </w:r>
    <w:r>
      <w:rPr>
        <w:rFonts w:ascii="Times New Roman" w:hAnsi="Times New Roman" w:eastAsia="黑体"/>
        <w:b/>
      </w:rPr>
      <w:t>0</w:t>
    </w:r>
    <w:r>
      <w:rPr>
        <w:rFonts w:hint="eastAsia" w:ascii="Times New Roman" w:hAnsi="Times New Roman" w:eastAsia="黑体"/>
        <w:b/>
      </w:rPr>
      <w:t>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E3264">
    <w:pPr>
      <w:spacing w:after="284" w:line="240" w:lineRule="auto"/>
      <w:jc w:val="righ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CMES XXX</w:t>
    </w:r>
    <w:r>
      <w:rPr>
        <w:rFonts w:hint="eastAsia" w:ascii="Times New Roman" w:hAnsi="Times New Roman" w:eastAsia="黑体"/>
        <w:b/>
      </w:rPr>
      <w:t>X—2</w:t>
    </w:r>
    <w:r>
      <w:rPr>
        <w:rFonts w:ascii="Times New Roman" w:hAnsi="Times New Roman" w:eastAsia="黑体"/>
        <w:b/>
      </w:rPr>
      <w:t>0</w:t>
    </w:r>
    <w:r>
      <w:rPr>
        <w:rFonts w:hint="eastAsia" w:ascii="Times New Roman" w:hAnsi="Times New Roman" w:eastAsia="黑体"/>
        <w:b/>
      </w:rPr>
      <w:t>2X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6BA80">
    <w:pPr>
      <w:spacing w:after="284" w:line="240" w:lineRule="auto"/>
      <w:jc w:val="lef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CMES XXX</w:t>
    </w:r>
    <w:r>
      <w:rPr>
        <w:rFonts w:hint="eastAsia" w:ascii="Times New Roman" w:hAnsi="Times New Roman" w:eastAsia="黑体"/>
        <w:b/>
      </w:rPr>
      <w:t>X—2</w:t>
    </w:r>
    <w:r>
      <w:rPr>
        <w:rFonts w:ascii="Times New Roman" w:hAnsi="Times New Roman" w:eastAsia="黑体"/>
        <w:b/>
      </w:rPr>
      <w:t>0</w:t>
    </w:r>
    <w:r>
      <w:rPr>
        <w:rFonts w:hint="eastAsia" w:ascii="Times New Roman" w:hAnsi="Times New Roman" w:eastAsia="黑体"/>
        <w:b/>
      </w:rPr>
      <w:t>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C2409"/>
    <w:multiLevelType w:val="multilevel"/>
    <w:tmpl w:val="1E3C2409"/>
    <w:lvl w:ilvl="0" w:tentative="0">
      <w:start w:val="1"/>
      <w:numFmt w:val="lowerLetter"/>
      <w:pStyle w:val="77"/>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E32610F"/>
    <w:multiLevelType w:val="multilevel"/>
    <w:tmpl w:val="2E32610F"/>
    <w:lvl w:ilvl="0" w:tentative="0">
      <w:start w:val="1"/>
      <w:numFmt w:val="decimal"/>
      <w:pStyle w:val="76"/>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
    <w:nsid w:val="3D1C17D8"/>
    <w:multiLevelType w:val="multilevel"/>
    <w:tmpl w:val="3D1C17D8"/>
    <w:lvl w:ilvl="0" w:tentative="0">
      <w:start w:val="1"/>
      <w:numFmt w:val="decimal"/>
      <w:pStyle w:val="82"/>
      <w:lvlText w:val="表%1 "/>
      <w:lvlJc w:val="left"/>
      <w:pPr>
        <w:ind w:left="4532" w:hanging="420"/>
      </w:pPr>
      <w:rPr>
        <w:rFonts w:hint="default" w:ascii="Times New Roman" w:hAnsi="Times New Roman" w:eastAsia="黑体"/>
        <w:sz w:val="21"/>
      </w:rPr>
    </w:lvl>
    <w:lvl w:ilvl="1" w:tentative="0">
      <w:start w:val="1"/>
      <w:numFmt w:val="lowerLetter"/>
      <w:lvlText w:val="%2)"/>
      <w:lvlJc w:val="left"/>
      <w:pPr>
        <w:ind w:left="4952" w:hanging="420"/>
      </w:pPr>
    </w:lvl>
    <w:lvl w:ilvl="2" w:tentative="0">
      <w:start w:val="1"/>
      <w:numFmt w:val="lowerRoman"/>
      <w:lvlText w:val="%3."/>
      <w:lvlJc w:val="right"/>
      <w:pPr>
        <w:ind w:left="5372" w:hanging="420"/>
      </w:pPr>
    </w:lvl>
    <w:lvl w:ilvl="3" w:tentative="0">
      <w:start w:val="1"/>
      <w:numFmt w:val="decimal"/>
      <w:lvlText w:val="%4."/>
      <w:lvlJc w:val="left"/>
      <w:pPr>
        <w:ind w:left="5792" w:hanging="420"/>
      </w:pPr>
    </w:lvl>
    <w:lvl w:ilvl="4" w:tentative="0">
      <w:start w:val="1"/>
      <w:numFmt w:val="lowerLetter"/>
      <w:lvlText w:val="%5)"/>
      <w:lvlJc w:val="left"/>
      <w:pPr>
        <w:ind w:left="6212" w:hanging="420"/>
      </w:pPr>
    </w:lvl>
    <w:lvl w:ilvl="5" w:tentative="0">
      <w:start w:val="1"/>
      <w:numFmt w:val="lowerRoman"/>
      <w:lvlText w:val="%6."/>
      <w:lvlJc w:val="right"/>
      <w:pPr>
        <w:ind w:left="6632" w:hanging="420"/>
      </w:pPr>
    </w:lvl>
    <w:lvl w:ilvl="6" w:tentative="0">
      <w:start w:val="1"/>
      <w:numFmt w:val="decimal"/>
      <w:lvlText w:val="%7."/>
      <w:lvlJc w:val="left"/>
      <w:pPr>
        <w:ind w:left="7052" w:hanging="420"/>
      </w:pPr>
    </w:lvl>
    <w:lvl w:ilvl="7" w:tentative="0">
      <w:start w:val="1"/>
      <w:numFmt w:val="lowerLetter"/>
      <w:lvlText w:val="%8)"/>
      <w:lvlJc w:val="left"/>
      <w:pPr>
        <w:ind w:left="7472" w:hanging="420"/>
      </w:pPr>
    </w:lvl>
    <w:lvl w:ilvl="8" w:tentative="0">
      <w:start w:val="1"/>
      <w:numFmt w:val="lowerRoman"/>
      <w:lvlText w:val="%9."/>
      <w:lvlJc w:val="right"/>
      <w:pPr>
        <w:ind w:left="7892" w:hanging="420"/>
      </w:pPr>
    </w:lvl>
  </w:abstractNum>
  <w:abstractNum w:abstractNumId="3">
    <w:nsid w:val="557C2AF5"/>
    <w:multiLevelType w:val="multilevel"/>
    <w:tmpl w:val="557C2AF5"/>
    <w:lvl w:ilvl="0" w:tentative="0">
      <w:start w:val="1"/>
      <w:numFmt w:val="decimal"/>
      <w:pStyle w:val="100"/>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4">
    <w:nsid w:val="591079F2"/>
    <w:multiLevelType w:val="multilevel"/>
    <w:tmpl w:val="591079F2"/>
    <w:lvl w:ilvl="0" w:tentative="0">
      <w:start w:val="1"/>
      <w:numFmt w:val="decimal"/>
      <w:pStyle w:val="107"/>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7D3FBC"/>
    <w:multiLevelType w:val="multilevel"/>
    <w:tmpl w:val="657D3FBC"/>
    <w:lvl w:ilvl="0" w:tentative="0">
      <w:start w:val="1"/>
      <w:numFmt w:val="upperLetter"/>
      <w:pStyle w:val="9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7B317F5"/>
    <w:multiLevelType w:val="multilevel"/>
    <w:tmpl w:val="67B317F5"/>
    <w:lvl w:ilvl="0" w:tentative="0">
      <w:start w:val="1"/>
      <w:numFmt w:val="lowerLetter"/>
      <w:lvlText w:val="%1)"/>
      <w:lvlJc w:val="left"/>
      <w:pPr>
        <w:ind w:left="0" w:firstLine="0"/>
      </w:pPr>
      <w:rPr>
        <w:rFonts w:hint="default"/>
        <w:b w:val="0"/>
        <w:bCs w:val="0"/>
        <w:i w:val="0"/>
        <w:iCs w:val="0"/>
        <w:sz w:val="21"/>
        <w:szCs w:val="21"/>
      </w:rPr>
    </w:lvl>
    <w:lvl w:ilvl="1" w:tentative="0">
      <w:start w:val="1"/>
      <w:numFmt w:val="decimal"/>
      <w:lvlText w:val="%2"/>
      <w:lvlJc w:val="left"/>
      <w:pPr>
        <w:ind w:left="440" w:hanging="440"/>
      </w:pPr>
      <w:rPr>
        <w:rFonts w:hint="eastAsia"/>
      </w:rPr>
    </w:lvl>
    <w:lvl w:ilvl="2" w:tentative="0">
      <w:start w:val="1"/>
      <w:numFmt w:val="decimal"/>
      <w:suff w:val="nothing"/>
      <w:lvlText w:val="%1%2.%3　"/>
      <w:lvlJc w:val="left"/>
      <w:pPr>
        <w:ind w:left="0" w:firstLine="0"/>
      </w:pPr>
      <w:rPr>
        <w:rFonts w:hint="eastAsia" w:ascii="黑体" w:hAnsi="Times New Roman" w:eastAsia="黑体"/>
        <w:b w:val="0"/>
        <w:bCs w:val="0"/>
        <w:i w:val="0"/>
        <w:iCs w:val="0"/>
        <w:sz w:val="21"/>
        <w:szCs w:val="21"/>
      </w:rPr>
    </w:lvl>
    <w:lvl w:ilvl="3" w:tentative="0">
      <w:start w:val="1"/>
      <w:numFmt w:val="decimal"/>
      <w:suff w:val="nothing"/>
      <w:lvlText w:val="%1%2.%3.%4　"/>
      <w:lvlJc w:val="left"/>
      <w:pPr>
        <w:ind w:left="0" w:firstLine="0"/>
      </w:pPr>
      <w:rPr>
        <w:rFonts w:hint="eastAsia" w:ascii="黑体" w:hAnsi="Times New Roman" w:eastAsia="黑体"/>
        <w:b w:val="0"/>
        <w:bCs w:val="0"/>
        <w:i w:val="0"/>
        <w:iCs w:val="0"/>
        <w:sz w:val="21"/>
        <w:szCs w:val="21"/>
      </w:rPr>
    </w:lvl>
    <w:lvl w:ilvl="4" w:tentative="0">
      <w:start w:val="1"/>
      <w:numFmt w:val="decimal"/>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CEA2025"/>
    <w:multiLevelType w:val="multilevel"/>
    <w:tmpl w:val="6CEA2025"/>
    <w:lvl w:ilvl="0" w:tentative="0">
      <w:start w:val="1"/>
      <w:numFmt w:val="none"/>
      <w:pStyle w:val="61"/>
      <w:suff w:val="nothing"/>
      <w:lvlText w:val="%1"/>
      <w:lvlJc w:val="left"/>
      <w:rPr>
        <w:rFonts w:hint="default" w:ascii="Times New Roman" w:hAnsi="Times New Roman" w:cs="Times New Roman"/>
        <w:b/>
        <w:bCs/>
        <w:i w:val="0"/>
        <w:iCs w:val="0"/>
        <w:sz w:val="21"/>
        <w:szCs w:val="21"/>
      </w:rPr>
    </w:lvl>
    <w:lvl w:ilvl="1" w:tentative="0">
      <w:start w:val="1"/>
      <w:numFmt w:val="decimal"/>
      <w:pStyle w:val="47"/>
      <w:suff w:val="nothing"/>
      <w:lvlText w:val="%1%2　"/>
      <w:lvlJc w:val="left"/>
      <w:rPr>
        <w:rFonts w:hint="eastAsia" w:ascii="黑体" w:hAnsi="Times New Roman" w:eastAsia="黑体"/>
        <w:b w:val="0"/>
        <w:bCs w:val="0"/>
        <w:i w:val="0"/>
        <w:iCs w:val="0"/>
        <w:sz w:val="21"/>
        <w:szCs w:val="21"/>
      </w:rPr>
    </w:lvl>
    <w:lvl w:ilvl="2" w:tentative="0">
      <w:start w:val="1"/>
      <w:numFmt w:val="decimal"/>
      <w:pStyle w:val="59"/>
      <w:suff w:val="nothing"/>
      <w:lvlText w:val="%1%2.%3　"/>
      <w:lvlJc w:val="left"/>
      <w:rPr>
        <w:rFonts w:hint="eastAsia" w:ascii="黑体" w:hAnsi="Times New Roman" w:eastAsia="黑体"/>
        <w:b w:val="0"/>
        <w:bCs w:val="0"/>
        <w:i w:val="0"/>
        <w:iCs w:val="0"/>
        <w:sz w:val="21"/>
        <w:szCs w:val="21"/>
      </w:rPr>
    </w:lvl>
    <w:lvl w:ilvl="3" w:tentative="0">
      <w:start w:val="1"/>
      <w:numFmt w:val="decimal"/>
      <w:pStyle w:val="55"/>
      <w:suff w:val="nothing"/>
      <w:lvlText w:val="%1%2.%3.%4　"/>
      <w:lvlJc w:val="left"/>
      <w:rPr>
        <w:rFonts w:hint="eastAsia" w:ascii="黑体" w:hAnsi="Times New Roman" w:eastAsia="黑体"/>
        <w:b w:val="0"/>
        <w:bCs w:val="0"/>
        <w:i w:val="0"/>
        <w:iCs w:val="0"/>
        <w:sz w:val="21"/>
        <w:szCs w:val="21"/>
      </w:rPr>
    </w:lvl>
    <w:lvl w:ilvl="4" w:tentative="0">
      <w:start w:val="1"/>
      <w:numFmt w:val="decimal"/>
      <w:pStyle w:val="56"/>
      <w:suff w:val="nothing"/>
      <w:lvlText w:val="%1%2.%3.%4.%5　"/>
      <w:lvlJc w:val="left"/>
      <w:rPr>
        <w:rFonts w:hint="eastAsia" w:ascii="黑体" w:hAnsi="Times New Roman" w:eastAsia="黑体"/>
        <w:b w:val="0"/>
        <w:bCs w:val="0"/>
        <w:i w:val="0"/>
        <w:iCs w:val="0"/>
        <w:sz w:val="21"/>
        <w:szCs w:val="21"/>
      </w:rPr>
    </w:lvl>
    <w:lvl w:ilvl="5" w:tentative="0">
      <w:start w:val="1"/>
      <w:numFmt w:val="decimal"/>
      <w:pStyle w:val="57"/>
      <w:suff w:val="nothing"/>
      <w:lvlText w:val="%1%2.%3.%4.%5.%6　"/>
      <w:lvlJc w:val="left"/>
      <w:rPr>
        <w:rFonts w:hint="eastAsia" w:ascii="黑体" w:hAnsi="Times New Roman" w:eastAsia="黑体"/>
        <w:b w:val="0"/>
        <w:bCs w:val="0"/>
        <w:i w:val="0"/>
        <w:iCs w:val="0"/>
        <w:sz w:val="21"/>
        <w:szCs w:val="21"/>
      </w:rPr>
    </w:lvl>
    <w:lvl w:ilvl="6" w:tentative="0">
      <w:start w:val="1"/>
      <w:numFmt w:val="decimal"/>
      <w:pStyle w:val="58"/>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1"/>
  </w:num>
  <w:num w:numId="3">
    <w:abstractNumId w:val="0"/>
  </w:num>
  <w:num w:numId="4">
    <w:abstractNumId w:val="2"/>
  </w:num>
  <w:num w:numId="5">
    <w:abstractNumId w:val="5"/>
  </w:num>
  <w:num w:numId="6">
    <w:abstractNumId w:val="3"/>
  </w:num>
  <w:num w:numId="7">
    <w:abstractNumId w:val="4"/>
  </w:num>
  <w:num w:numId="8">
    <w:abstractNumId w:val="0"/>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sDS0NDA2MTY1NTE0MzNU0lEKTi0uzszPAykwNK8FADki5PYtAAAA"/>
  </w:docVars>
  <w:rsids>
    <w:rsidRoot w:val="00197850"/>
    <w:rsid w:val="0000073C"/>
    <w:rsid w:val="00002051"/>
    <w:rsid w:val="00005A6C"/>
    <w:rsid w:val="00010308"/>
    <w:rsid w:val="0001235A"/>
    <w:rsid w:val="00014390"/>
    <w:rsid w:val="00014B4E"/>
    <w:rsid w:val="00014C96"/>
    <w:rsid w:val="000152D9"/>
    <w:rsid w:val="00016760"/>
    <w:rsid w:val="00023EA8"/>
    <w:rsid w:val="00024424"/>
    <w:rsid w:val="00024EA2"/>
    <w:rsid w:val="00025BEE"/>
    <w:rsid w:val="00027A27"/>
    <w:rsid w:val="00027B6A"/>
    <w:rsid w:val="00031BBE"/>
    <w:rsid w:val="00033092"/>
    <w:rsid w:val="00033498"/>
    <w:rsid w:val="000339ED"/>
    <w:rsid w:val="000346B1"/>
    <w:rsid w:val="0003584D"/>
    <w:rsid w:val="00036451"/>
    <w:rsid w:val="000365A3"/>
    <w:rsid w:val="0003781F"/>
    <w:rsid w:val="000378B5"/>
    <w:rsid w:val="00037918"/>
    <w:rsid w:val="000404DA"/>
    <w:rsid w:val="000412AD"/>
    <w:rsid w:val="00041AB6"/>
    <w:rsid w:val="00042A58"/>
    <w:rsid w:val="00043BBF"/>
    <w:rsid w:val="00043E1F"/>
    <w:rsid w:val="0004662A"/>
    <w:rsid w:val="00051DA5"/>
    <w:rsid w:val="00054640"/>
    <w:rsid w:val="00054680"/>
    <w:rsid w:val="0005490D"/>
    <w:rsid w:val="00056B57"/>
    <w:rsid w:val="00056CE5"/>
    <w:rsid w:val="000573B6"/>
    <w:rsid w:val="000574C1"/>
    <w:rsid w:val="000579A2"/>
    <w:rsid w:val="0006200A"/>
    <w:rsid w:val="00062E41"/>
    <w:rsid w:val="00063C22"/>
    <w:rsid w:val="000647CC"/>
    <w:rsid w:val="00064DAD"/>
    <w:rsid w:val="00066803"/>
    <w:rsid w:val="00066881"/>
    <w:rsid w:val="00066F3E"/>
    <w:rsid w:val="00067685"/>
    <w:rsid w:val="00067F80"/>
    <w:rsid w:val="0007115C"/>
    <w:rsid w:val="0007147B"/>
    <w:rsid w:val="00071C38"/>
    <w:rsid w:val="00073EDA"/>
    <w:rsid w:val="00075356"/>
    <w:rsid w:val="00076781"/>
    <w:rsid w:val="00076A2C"/>
    <w:rsid w:val="00076D2A"/>
    <w:rsid w:val="000811EB"/>
    <w:rsid w:val="0008198E"/>
    <w:rsid w:val="00082CDB"/>
    <w:rsid w:val="00083FD1"/>
    <w:rsid w:val="000848F4"/>
    <w:rsid w:val="00085B82"/>
    <w:rsid w:val="00085D9D"/>
    <w:rsid w:val="000871C9"/>
    <w:rsid w:val="00090F8D"/>
    <w:rsid w:val="0009433F"/>
    <w:rsid w:val="00094684"/>
    <w:rsid w:val="00095112"/>
    <w:rsid w:val="000A06C3"/>
    <w:rsid w:val="000A0D58"/>
    <w:rsid w:val="000A2E0B"/>
    <w:rsid w:val="000A648E"/>
    <w:rsid w:val="000A652F"/>
    <w:rsid w:val="000A66A4"/>
    <w:rsid w:val="000B10C3"/>
    <w:rsid w:val="000B211F"/>
    <w:rsid w:val="000B25A3"/>
    <w:rsid w:val="000B35D6"/>
    <w:rsid w:val="000B4288"/>
    <w:rsid w:val="000B541A"/>
    <w:rsid w:val="000B5E3C"/>
    <w:rsid w:val="000B6447"/>
    <w:rsid w:val="000B766A"/>
    <w:rsid w:val="000C0374"/>
    <w:rsid w:val="000C3AFE"/>
    <w:rsid w:val="000C7161"/>
    <w:rsid w:val="000C77AA"/>
    <w:rsid w:val="000D2AC0"/>
    <w:rsid w:val="000D3E2B"/>
    <w:rsid w:val="000D5C3A"/>
    <w:rsid w:val="000E022F"/>
    <w:rsid w:val="000E1AE5"/>
    <w:rsid w:val="000E3D1E"/>
    <w:rsid w:val="000E5249"/>
    <w:rsid w:val="000E6028"/>
    <w:rsid w:val="000F3994"/>
    <w:rsid w:val="000F3C19"/>
    <w:rsid w:val="0010105B"/>
    <w:rsid w:val="001013D7"/>
    <w:rsid w:val="001049A4"/>
    <w:rsid w:val="001076F1"/>
    <w:rsid w:val="00107856"/>
    <w:rsid w:val="0011402D"/>
    <w:rsid w:val="00114D03"/>
    <w:rsid w:val="00117498"/>
    <w:rsid w:val="001206E3"/>
    <w:rsid w:val="00121161"/>
    <w:rsid w:val="00121A1E"/>
    <w:rsid w:val="0012459D"/>
    <w:rsid w:val="00124D42"/>
    <w:rsid w:val="00125670"/>
    <w:rsid w:val="00126A02"/>
    <w:rsid w:val="00126DF5"/>
    <w:rsid w:val="001321C5"/>
    <w:rsid w:val="001322EE"/>
    <w:rsid w:val="001325FB"/>
    <w:rsid w:val="001333FB"/>
    <w:rsid w:val="00134BE1"/>
    <w:rsid w:val="00136997"/>
    <w:rsid w:val="00136F3D"/>
    <w:rsid w:val="001434C4"/>
    <w:rsid w:val="0014360D"/>
    <w:rsid w:val="00145B60"/>
    <w:rsid w:val="00146556"/>
    <w:rsid w:val="00153FFF"/>
    <w:rsid w:val="001544EB"/>
    <w:rsid w:val="0015563F"/>
    <w:rsid w:val="0015626C"/>
    <w:rsid w:val="0015668E"/>
    <w:rsid w:val="00156BE1"/>
    <w:rsid w:val="001605C0"/>
    <w:rsid w:val="0016087C"/>
    <w:rsid w:val="00161036"/>
    <w:rsid w:val="001622E6"/>
    <w:rsid w:val="00162AC9"/>
    <w:rsid w:val="00162BAF"/>
    <w:rsid w:val="001649C1"/>
    <w:rsid w:val="00165187"/>
    <w:rsid w:val="00166148"/>
    <w:rsid w:val="001703C2"/>
    <w:rsid w:val="00170F50"/>
    <w:rsid w:val="00171293"/>
    <w:rsid w:val="0017261A"/>
    <w:rsid w:val="00172967"/>
    <w:rsid w:val="00172B3E"/>
    <w:rsid w:val="00172EEA"/>
    <w:rsid w:val="001732F6"/>
    <w:rsid w:val="00174AFD"/>
    <w:rsid w:val="001771CB"/>
    <w:rsid w:val="00177F1B"/>
    <w:rsid w:val="00180489"/>
    <w:rsid w:val="00181276"/>
    <w:rsid w:val="00181922"/>
    <w:rsid w:val="00181FFB"/>
    <w:rsid w:val="001822BB"/>
    <w:rsid w:val="00182469"/>
    <w:rsid w:val="00182A98"/>
    <w:rsid w:val="00185F6F"/>
    <w:rsid w:val="00186AE3"/>
    <w:rsid w:val="001904A5"/>
    <w:rsid w:val="001928BB"/>
    <w:rsid w:val="001947FE"/>
    <w:rsid w:val="0019486D"/>
    <w:rsid w:val="00195CAE"/>
    <w:rsid w:val="00195E03"/>
    <w:rsid w:val="001960FD"/>
    <w:rsid w:val="0019628E"/>
    <w:rsid w:val="00197850"/>
    <w:rsid w:val="001A2130"/>
    <w:rsid w:val="001A2D7C"/>
    <w:rsid w:val="001A4F66"/>
    <w:rsid w:val="001A5435"/>
    <w:rsid w:val="001A784B"/>
    <w:rsid w:val="001B0398"/>
    <w:rsid w:val="001B0EF7"/>
    <w:rsid w:val="001B3876"/>
    <w:rsid w:val="001B40BE"/>
    <w:rsid w:val="001B4D7C"/>
    <w:rsid w:val="001B536E"/>
    <w:rsid w:val="001C1867"/>
    <w:rsid w:val="001C2972"/>
    <w:rsid w:val="001C38CD"/>
    <w:rsid w:val="001C50FE"/>
    <w:rsid w:val="001C61FA"/>
    <w:rsid w:val="001C626A"/>
    <w:rsid w:val="001C6AFB"/>
    <w:rsid w:val="001C7C17"/>
    <w:rsid w:val="001D1A54"/>
    <w:rsid w:val="001D54C7"/>
    <w:rsid w:val="001D56EB"/>
    <w:rsid w:val="001D72B5"/>
    <w:rsid w:val="001D77DA"/>
    <w:rsid w:val="001D7C7B"/>
    <w:rsid w:val="001E1B42"/>
    <w:rsid w:val="001E28D1"/>
    <w:rsid w:val="001E3575"/>
    <w:rsid w:val="001E57FE"/>
    <w:rsid w:val="001E6FD6"/>
    <w:rsid w:val="001E7986"/>
    <w:rsid w:val="001F1581"/>
    <w:rsid w:val="001F34B7"/>
    <w:rsid w:val="001F34D1"/>
    <w:rsid w:val="001F425B"/>
    <w:rsid w:val="001F537C"/>
    <w:rsid w:val="001F55A0"/>
    <w:rsid w:val="001F66A7"/>
    <w:rsid w:val="00201A9F"/>
    <w:rsid w:val="00202607"/>
    <w:rsid w:val="00202A7F"/>
    <w:rsid w:val="00202FF4"/>
    <w:rsid w:val="00203168"/>
    <w:rsid w:val="00204221"/>
    <w:rsid w:val="00211C32"/>
    <w:rsid w:val="00211C99"/>
    <w:rsid w:val="0021260D"/>
    <w:rsid w:val="002138D3"/>
    <w:rsid w:val="00217ADE"/>
    <w:rsid w:val="002218A3"/>
    <w:rsid w:val="00222161"/>
    <w:rsid w:val="00222B7A"/>
    <w:rsid w:val="002242C3"/>
    <w:rsid w:val="0022528D"/>
    <w:rsid w:val="00226ABA"/>
    <w:rsid w:val="00230E80"/>
    <w:rsid w:val="0023131D"/>
    <w:rsid w:val="00233BA7"/>
    <w:rsid w:val="0023488A"/>
    <w:rsid w:val="0023663E"/>
    <w:rsid w:val="00236770"/>
    <w:rsid w:val="002369AD"/>
    <w:rsid w:val="00236CA2"/>
    <w:rsid w:val="0024022B"/>
    <w:rsid w:val="0024058F"/>
    <w:rsid w:val="00241071"/>
    <w:rsid w:val="002424D8"/>
    <w:rsid w:val="002440B4"/>
    <w:rsid w:val="00244236"/>
    <w:rsid w:val="002479C5"/>
    <w:rsid w:val="0025019A"/>
    <w:rsid w:val="0025463A"/>
    <w:rsid w:val="00257D51"/>
    <w:rsid w:val="00257D95"/>
    <w:rsid w:val="0026360F"/>
    <w:rsid w:val="0026364A"/>
    <w:rsid w:val="00265E44"/>
    <w:rsid w:val="00267A09"/>
    <w:rsid w:val="00271056"/>
    <w:rsid w:val="00272374"/>
    <w:rsid w:val="00276BA6"/>
    <w:rsid w:val="00277943"/>
    <w:rsid w:val="002809E2"/>
    <w:rsid w:val="00282C73"/>
    <w:rsid w:val="00284149"/>
    <w:rsid w:val="002925A9"/>
    <w:rsid w:val="00293140"/>
    <w:rsid w:val="0029450A"/>
    <w:rsid w:val="00295C59"/>
    <w:rsid w:val="00296562"/>
    <w:rsid w:val="00297014"/>
    <w:rsid w:val="00297886"/>
    <w:rsid w:val="002A0FBB"/>
    <w:rsid w:val="002A1CB1"/>
    <w:rsid w:val="002A1E91"/>
    <w:rsid w:val="002A393A"/>
    <w:rsid w:val="002A518B"/>
    <w:rsid w:val="002A77A7"/>
    <w:rsid w:val="002B2331"/>
    <w:rsid w:val="002B4338"/>
    <w:rsid w:val="002B47A2"/>
    <w:rsid w:val="002B4B96"/>
    <w:rsid w:val="002B56FC"/>
    <w:rsid w:val="002C027A"/>
    <w:rsid w:val="002C115E"/>
    <w:rsid w:val="002C1196"/>
    <w:rsid w:val="002C1E25"/>
    <w:rsid w:val="002C4278"/>
    <w:rsid w:val="002C4516"/>
    <w:rsid w:val="002C50C1"/>
    <w:rsid w:val="002C54F8"/>
    <w:rsid w:val="002C7B57"/>
    <w:rsid w:val="002D2514"/>
    <w:rsid w:val="002D262F"/>
    <w:rsid w:val="002D3320"/>
    <w:rsid w:val="002D5564"/>
    <w:rsid w:val="002D6578"/>
    <w:rsid w:val="002D790A"/>
    <w:rsid w:val="002E030D"/>
    <w:rsid w:val="002E0A4A"/>
    <w:rsid w:val="002E2394"/>
    <w:rsid w:val="002E3EF4"/>
    <w:rsid w:val="002E552B"/>
    <w:rsid w:val="002E5742"/>
    <w:rsid w:val="002E648A"/>
    <w:rsid w:val="002E7F36"/>
    <w:rsid w:val="002F0AA9"/>
    <w:rsid w:val="002F1A2C"/>
    <w:rsid w:val="002F1FE6"/>
    <w:rsid w:val="002F3E6C"/>
    <w:rsid w:val="002F74E7"/>
    <w:rsid w:val="002F7E53"/>
    <w:rsid w:val="003008C9"/>
    <w:rsid w:val="0030090C"/>
    <w:rsid w:val="00300F34"/>
    <w:rsid w:val="0030147C"/>
    <w:rsid w:val="00302C69"/>
    <w:rsid w:val="0030463B"/>
    <w:rsid w:val="00305645"/>
    <w:rsid w:val="00305995"/>
    <w:rsid w:val="0031439A"/>
    <w:rsid w:val="00314944"/>
    <w:rsid w:val="0031575C"/>
    <w:rsid w:val="00324F04"/>
    <w:rsid w:val="003261BA"/>
    <w:rsid w:val="0032657B"/>
    <w:rsid w:val="003266B6"/>
    <w:rsid w:val="00326B8C"/>
    <w:rsid w:val="00326E44"/>
    <w:rsid w:val="0032733A"/>
    <w:rsid w:val="0032745F"/>
    <w:rsid w:val="00327CCE"/>
    <w:rsid w:val="00330304"/>
    <w:rsid w:val="003315C8"/>
    <w:rsid w:val="003319BD"/>
    <w:rsid w:val="00333C16"/>
    <w:rsid w:val="0033755E"/>
    <w:rsid w:val="003376DC"/>
    <w:rsid w:val="00337C6D"/>
    <w:rsid w:val="00340C11"/>
    <w:rsid w:val="00342A70"/>
    <w:rsid w:val="0034342D"/>
    <w:rsid w:val="00345ACF"/>
    <w:rsid w:val="00347F00"/>
    <w:rsid w:val="00350131"/>
    <w:rsid w:val="00351191"/>
    <w:rsid w:val="003515E3"/>
    <w:rsid w:val="003528B7"/>
    <w:rsid w:val="00352F36"/>
    <w:rsid w:val="00353707"/>
    <w:rsid w:val="00353DD1"/>
    <w:rsid w:val="00355979"/>
    <w:rsid w:val="00355A11"/>
    <w:rsid w:val="00355B99"/>
    <w:rsid w:val="00356909"/>
    <w:rsid w:val="003600FE"/>
    <w:rsid w:val="00360876"/>
    <w:rsid w:val="003612F1"/>
    <w:rsid w:val="0036300A"/>
    <w:rsid w:val="0036323C"/>
    <w:rsid w:val="00363B33"/>
    <w:rsid w:val="00365420"/>
    <w:rsid w:val="00365BDC"/>
    <w:rsid w:val="00365C26"/>
    <w:rsid w:val="003675D9"/>
    <w:rsid w:val="00367C38"/>
    <w:rsid w:val="00382CD7"/>
    <w:rsid w:val="00384F77"/>
    <w:rsid w:val="00385EE2"/>
    <w:rsid w:val="00387B53"/>
    <w:rsid w:val="00390ECF"/>
    <w:rsid w:val="00393375"/>
    <w:rsid w:val="003943DF"/>
    <w:rsid w:val="00395010"/>
    <w:rsid w:val="00396506"/>
    <w:rsid w:val="00397B83"/>
    <w:rsid w:val="003A0B5D"/>
    <w:rsid w:val="003A124B"/>
    <w:rsid w:val="003A24BE"/>
    <w:rsid w:val="003A2BB3"/>
    <w:rsid w:val="003A36CA"/>
    <w:rsid w:val="003A6A1D"/>
    <w:rsid w:val="003B07C4"/>
    <w:rsid w:val="003B0931"/>
    <w:rsid w:val="003B392B"/>
    <w:rsid w:val="003B6BC4"/>
    <w:rsid w:val="003C0E52"/>
    <w:rsid w:val="003C172E"/>
    <w:rsid w:val="003C2027"/>
    <w:rsid w:val="003C3CCA"/>
    <w:rsid w:val="003C5DA3"/>
    <w:rsid w:val="003C6F7D"/>
    <w:rsid w:val="003C754D"/>
    <w:rsid w:val="003D2536"/>
    <w:rsid w:val="003D47B8"/>
    <w:rsid w:val="003D5692"/>
    <w:rsid w:val="003D63E2"/>
    <w:rsid w:val="003D6612"/>
    <w:rsid w:val="003D6C63"/>
    <w:rsid w:val="003D7C67"/>
    <w:rsid w:val="003E1BCE"/>
    <w:rsid w:val="003E2628"/>
    <w:rsid w:val="003E2A6C"/>
    <w:rsid w:val="003E39A1"/>
    <w:rsid w:val="003E5971"/>
    <w:rsid w:val="003E69E4"/>
    <w:rsid w:val="003F145F"/>
    <w:rsid w:val="003F3C99"/>
    <w:rsid w:val="003F4FA2"/>
    <w:rsid w:val="003F6DD0"/>
    <w:rsid w:val="003F7129"/>
    <w:rsid w:val="00401AB7"/>
    <w:rsid w:val="00403B8D"/>
    <w:rsid w:val="00407724"/>
    <w:rsid w:val="00407902"/>
    <w:rsid w:val="00414BAE"/>
    <w:rsid w:val="0041585C"/>
    <w:rsid w:val="00415AA7"/>
    <w:rsid w:val="004164EB"/>
    <w:rsid w:val="00416836"/>
    <w:rsid w:val="00422CB4"/>
    <w:rsid w:val="00425E83"/>
    <w:rsid w:val="00425EE6"/>
    <w:rsid w:val="0042701A"/>
    <w:rsid w:val="00427589"/>
    <w:rsid w:val="004312CA"/>
    <w:rsid w:val="00431AA6"/>
    <w:rsid w:val="00432E59"/>
    <w:rsid w:val="00433433"/>
    <w:rsid w:val="00440BEF"/>
    <w:rsid w:val="00441762"/>
    <w:rsid w:val="00444F51"/>
    <w:rsid w:val="004503CF"/>
    <w:rsid w:val="004524E3"/>
    <w:rsid w:val="004547DC"/>
    <w:rsid w:val="00454AC1"/>
    <w:rsid w:val="00460BE9"/>
    <w:rsid w:val="00460E0E"/>
    <w:rsid w:val="00461517"/>
    <w:rsid w:val="00461F0D"/>
    <w:rsid w:val="00466599"/>
    <w:rsid w:val="004700C6"/>
    <w:rsid w:val="004707D2"/>
    <w:rsid w:val="00473435"/>
    <w:rsid w:val="00476A50"/>
    <w:rsid w:val="00476DF6"/>
    <w:rsid w:val="00480644"/>
    <w:rsid w:val="0048116A"/>
    <w:rsid w:val="0048131A"/>
    <w:rsid w:val="00483669"/>
    <w:rsid w:val="00485008"/>
    <w:rsid w:val="00485BD7"/>
    <w:rsid w:val="00486E57"/>
    <w:rsid w:val="004870EB"/>
    <w:rsid w:val="00491ADB"/>
    <w:rsid w:val="00495446"/>
    <w:rsid w:val="00495456"/>
    <w:rsid w:val="00495E73"/>
    <w:rsid w:val="00497BF5"/>
    <w:rsid w:val="004A3257"/>
    <w:rsid w:val="004A33A8"/>
    <w:rsid w:val="004A3445"/>
    <w:rsid w:val="004A35E8"/>
    <w:rsid w:val="004A3C6A"/>
    <w:rsid w:val="004A4462"/>
    <w:rsid w:val="004A6B1B"/>
    <w:rsid w:val="004A752A"/>
    <w:rsid w:val="004B0D99"/>
    <w:rsid w:val="004B1D30"/>
    <w:rsid w:val="004B27E6"/>
    <w:rsid w:val="004B2CAE"/>
    <w:rsid w:val="004B4231"/>
    <w:rsid w:val="004B61A0"/>
    <w:rsid w:val="004B62C8"/>
    <w:rsid w:val="004B669F"/>
    <w:rsid w:val="004B6906"/>
    <w:rsid w:val="004B695C"/>
    <w:rsid w:val="004B6F4D"/>
    <w:rsid w:val="004B7CCC"/>
    <w:rsid w:val="004C057C"/>
    <w:rsid w:val="004C1995"/>
    <w:rsid w:val="004C275D"/>
    <w:rsid w:val="004C4954"/>
    <w:rsid w:val="004C5354"/>
    <w:rsid w:val="004C5F51"/>
    <w:rsid w:val="004C60E0"/>
    <w:rsid w:val="004C6271"/>
    <w:rsid w:val="004C7422"/>
    <w:rsid w:val="004C74A7"/>
    <w:rsid w:val="004C7616"/>
    <w:rsid w:val="004C76B7"/>
    <w:rsid w:val="004C7E66"/>
    <w:rsid w:val="004C7F16"/>
    <w:rsid w:val="004D0CCC"/>
    <w:rsid w:val="004D1D86"/>
    <w:rsid w:val="004D269C"/>
    <w:rsid w:val="004D40AC"/>
    <w:rsid w:val="004D4D9F"/>
    <w:rsid w:val="004D7677"/>
    <w:rsid w:val="004D7C44"/>
    <w:rsid w:val="004E09C5"/>
    <w:rsid w:val="004E0E5B"/>
    <w:rsid w:val="004E2F9E"/>
    <w:rsid w:val="004E415D"/>
    <w:rsid w:val="004E48FD"/>
    <w:rsid w:val="004E56B7"/>
    <w:rsid w:val="004E57AF"/>
    <w:rsid w:val="004E7C20"/>
    <w:rsid w:val="004F1453"/>
    <w:rsid w:val="004F1EF5"/>
    <w:rsid w:val="004F2BED"/>
    <w:rsid w:val="004F344F"/>
    <w:rsid w:val="004F360C"/>
    <w:rsid w:val="004F398E"/>
    <w:rsid w:val="004F402E"/>
    <w:rsid w:val="004F50BD"/>
    <w:rsid w:val="004F6362"/>
    <w:rsid w:val="004F6748"/>
    <w:rsid w:val="004F7317"/>
    <w:rsid w:val="0050399B"/>
    <w:rsid w:val="00504F95"/>
    <w:rsid w:val="005100A7"/>
    <w:rsid w:val="0051011C"/>
    <w:rsid w:val="00510ADB"/>
    <w:rsid w:val="00510BC7"/>
    <w:rsid w:val="00511CB1"/>
    <w:rsid w:val="005129CF"/>
    <w:rsid w:val="005135B2"/>
    <w:rsid w:val="00513730"/>
    <w:rsid w:val="005140CA"/>
    <w:rsid w:val="0051518A"/>
    <w:rsid w:val="0052082F"/>
    <w:rsid w:val="00520BEA"/>
    <w:rsid w:val="00521F0B"/>
    <w:rsid w:val="0052218B"/>
    <w:rsid w:val="00522413"/>
    <w:rsid w:val="00522922"/>
    <w:rsid w:val="00524856"/>
    <w:rsid w:val="00524DB6"/>
    <w:rsid w:val="0052677B"/>
    <w:rsid w:val="0053188A"/>
    <w:rsid w:val="00532CFF"/>
    <w:rsid w:val="00534619"/>
    <w:rsid w:val="00537578"/>
    <w:rsid w:val="0054098D"/>
    <w:rsid w:val="00541077"/>
    <w:rsid w:val="00541261"/>
    <w:rsid w:val="00542499"/>
    <w:rsid w:val="00542C13"/>
    <w:rsid w:val="00542E1B"/>
    <w:rsid w:val="00545C02"/>
    <w:rsid w:val="00545FCE"/>
    <w:rsid w:val="00546567"/>
    <w:rsid w:val="005471AA"/>
    <w:rsid w:val="00551DA8"/>
    <w:rsid w:val="00553784"/>
    <w:rsid w:val="005540E9"/>
    <w:rsid w:val="005602BE"/>
    <w:rsid w:val="00560CC3"/>
    <w:rsid w:val="00562A1E"/>
    <w:rsid w:val="00563053"/>
    <w:rsid w:val="00563668"/>
    <w:rsid w:val="0057551E"/>
    <w:rsid w:val="005756FC"/>
    <w:rsid w:val="00577291"/>
    <w:rsid w:val="005777F7"/>
    <w:rsid w:val="005801BA"/>
    <w:rsid w:val="00580BA6"/>
    <w:rsid w:val="00581D14"/>
    <w:rsid w:val="005827AE"/>
    <w:rsid w:val="005840B2"/>
    <w:rsid w:val="00586983"/>
    <w:rsid w:val="005871F8"/>
    <w:rsid w:val="005872AC"/>
    <w:rsid w:val="00592F9F"/>
    <w:rsid w:val="005A2AA3"/>
    <w:rsid w:val="005A36B1"/>
    <w:rsid w:val="005A3C9B"/>
    <w:rsid w:val="005B0B8C"/>
    <w:rsid w:val="005B13AA"/>
    <w:rsid w:val="005B1A01"/>
    <w:rsid w:val="005B1BC3"/>
    <w:rsid w:val="005B2034"/>
    <w:rsid w:val="005B47FA"/>
    <w:rsid w:val="005B5684"/>
    <w:rsid w:val="005B67B5"/>
    <w:rsid w:val="005B68E8"/>
    <w:rsid w:val="005B712B"/>
    <w:rsid w:val="005C01A6"/>
    <w:rsid w:val="005C187B"/>
    <w:rsid w:val="005C5140"/>
    <w:rsid w:val="005C6130"/>
    <w:rsid w:val="005C6282"/>
    <w:rsid w:val="005C7A82"/>
    <w:rsid w:val="005C7EDC"/>
    <w:rsid w:val="005D075B"/>
    <w:rsid w:val="005D1251"/>
    <w:rsid w:val="005D28BA"/>
    <w:rsid w:val="005D2A9F"/>
    <w:rsid w:val="005D5325"/>
    <w:rsid w:val="005D626B"/>
    <w:rsid w:val="005E23FB"/>
    <w:rsid w:val="005E24D4"/>
    <w:rsid w:val="005E26F6"/>
    <w:rsid w:val="005E3E62"/>
    <w:rsid w:val="005E4B52"/>
    <w:rsid w:val="005F12F3"/>
    <w:rsid w:val="005F46EF"/>
    <w:rsid w:val="005F4799"/>
    <w:rsid w:val="005F7601"/>
    <w:rsid w:val="005F7C28"/>
    <w:rsid w:val="006015FC"/>
    <w:rsid w:val="00605E66"/>
    <w:rsid w:val="00607D8E"/>
    <w:rsid w:val="00614D17"/>
    <w:rsid w:val="00615301"/>
    <w:rsid w:val="0061584A"/>
    <w:rsid w:val="00616CE4"/>
    <w:rsid w:val="00616F8A"/>
    <w:rsid w:val="00620A15"/>
    <w:rsid w:val="0062136E"/>
    <w:rsid w:val="00621579"/>
    <w:rsid w:val="00624F75"/>
    <w:rsid w:val="006323F9"/>
    <w:rsid w:val="00634BF8"/>
    <w:rsid w:val="00635BD5"/>
    <w:rsid w:val="0064277D"/>
    <w:rsid w:val="00644B80"/>
    <w:rsid w:val="0064500D"/>
    <w:rsid w:val="00646769"/>
    <w:rsid w:val="00647D52"/>
    <w:rsid w:val="0065119C"/>
    <w:rsid w:val="006521CC"/>
    <w:rsid w:val="0065231A"/>
    <w:rsid w:val="00655218"/>
    <w:rsid w:val="00656687"/>
    <w:rsid w:val="006617E6"/>
    <w:rsid w:val="00662007"/>
    <w:rsid w:val="00662A9E"/>
    <w:rsid w:val="00662FD0"/>
    <w:rsid w:val="00664ADE"/>
    <w:rsid w:val="0066634E"/>
    <w:rsid w:val="00670009"/>
    <w:rsid w:val="00670B18"/>
    <w:rsid w:val="006715E9"/>
    <w:rsid w:val="00671FC9"/>
    <w:rsid w:val="00675750"/>
    <w:rsid w:val="00675E10"/>
    <w:rsid w:val="0067619F"/>
    <w:rsid w:val="00680359"/>
    <w:rsid w:val="00680F62"/>
    <w:rsid w:val="00682375"/>
    <w:rsid w:val="0068339B"/>
    <w:rsid w:val="00685450"/>
    <w:rsid w:val="00686E97"/>
    <w:rsid w:val="00691383"/>
    <w:rsid w:val="006965EB"/>
    <w:rsid w:val="006A0BF1"/>
    <w:rsid w:val="006A473E"/>
    <w:rsid w:val="006A4AAC"/>
    <w:rsid w:val="006A6FDF"/>
    <w:rsid w:val="006A733B"/>
    <w:rsid w:val="006B13F0"/>
    <w:rsid w:val="006B2328"/>
    <w:rsid w:val="006B30AD"/>
    <w:rsid w:val="006B5ACE"/>
    <w:rsid w:val="006B6F97"/>
    <w:rsid w:val="006B7FF2"/>
    <w:rsid w:val="006C039D"/>
    <w:rsid w:val="006C354A"/>
    <w:rsid w:val="006C76D1"/>
    <w:rsid w:val="006C7AFC"/>
    <w:rsid w:val="006D016A"/>
    <w:rsid w:val="006D2B23"/>
    <w:rsid w:val="006D49AC"/>
    <w:rsid w:val="006D63F7"/>
    <w:rsid w:val="006D68F6"/>
    <w:rsid w:val="006E46F7"/>
    <w:rsid w:val="006F4999"/>
    <w:rsid w:val="006F5EE3"/>
    <w:rsid w:val="006F6631"/>
    <w:rsid w:val="006F75D1"/>
    <w:rsid w:val="007002A9"/>
    <w:rsid w:val="007012C3"/>
    <w:rsid w:val="00701791"/>
    <w:rsid w:val="007020C8"/>
    <w:rsid w:val="00702273"/>
    <w:rsid w:val="00704BD6"/>
    <w:rsid w:val="0070587E"/>
    <w:rsid w:val="0070625B"/>
    <w:rsid w:val="007078D4"/>
    <w:rsid w:val="0071139A"/>
    <w:rsid w:val="0071200E"/>
    <w:rsid w:val="0071776D"/>
    <w:rsid w:val="0072003E"/>
    <w:rsid w:val="00722B27"/>
    <w:rsid w:val="00723526"/>
    <w:rsid w:val="00723659"/>
    <w:rsid w:val="00723FE7"/>
    <w:rsid w:val="0072445A"/>
    <w:rsid w:val="00726D27"/>
    <w:rsid w:val="00727016"/>
    <w:rsid w:val="007276E6"/>
    <w:rsid w:val="00727AF8"/>
    <w:rsid w:val="00734846"/>
    <w:rsid w:val="0073564C"/>
    <w:rsid w:val="00735EA5"/>
    <w:rsid w:val="007366FC"/>
    <w:rsid w:val="00737324"/>
    <w:rsid w:val="00737C6A"/>
    <w:rsid w:val="00737E71"/>
    <w:rsid w:val="00741BAF"/>
    <w:rsid w:val="0074271D"/>
    <w:rsid w:val="00743A39"/>
    <w:rsid w:val="00743A4D"/>
    <w:rsid w:val="007465BC"/>
    <w:rsid w:val="00747F2A"/>
    <w:rsid w:val="00751747"/>
    <w:rsid w:val="00752021"/>
    <w:rsid w:val="00752A9B"/>
    <w:rsid w:val="007553F5"/>
    <w:rsid w:val="00756C71"/>
    <w:rsid w:val="00757402"/>
    <w:rsid w:val="00757740"/>
    <w:rsid w:val="00757CF6"/>
    <w:rsid w:val="00760972"/>
    <w:rsid w:val="0076128E"/>
    <w:rsid w:val="00762199"/>
    <w:rsid w:val="00763697"/>
    <w:rsid w:val="007643CF"/>
    <w:rsid w:val="007656F8"/>
    <w:rsid w:val="00772D55"/>
    <w:rsid w:val="00774B45"/>
    <w:rsid w:val="007806BF"/>
    <w:rsid w:val="007813EF"/>
    <w:rsid w:val="00781AE7"/>
    <w:rsid w:val="007830AD"/>
    <w:rsid w:val="007842D9"/>
    <w:rsid w:val="00784C08"/>
    <w:rsid w:val="0079018C"/>
    <w:rsid w:val="00790330"/>
    <w:rsid w:val="00791295"/>
    <w:rsid w:val="00792314"/>
    <w:rsid w:val="00793280"/>
    <w:rsid w:val="00794730"/>
    <w:rsid w:val="0079783D"/>
    <w:rsid w:val="00797A2E"/>
    <w:rsid w:val="007A0C86"/>
    <w:rsid w:val="007A14D6"/>
    <w:rsid w:val="007A2E96"/>
    <w:rsid w:val="007A43B9"/>
    <w:rsid w:val="007A4EAB"/>
    <w:rsid w:val="007A777A"/>
    <w:rsid w:val="007A7DBD"/>
    <w:rsid w:val="007B06B2"/>
    <w:rsid w:val="007B576F"/>
    <w:rsid w:val="007C09B4"/>
    <w:rsid w:val="007C1B03"/>
    <w:rsid w:val="007C2F66"/>
    <w:rsid w:val="007C4FD8"/>
    <w:rsid w:val="007C575A"/>
    <w:rsid w:val="007C68EB"/>
    <w:rsid w:val="007C68F1"/>
    <w:rsid w:val="007C7827"/>
    <w:rsid w:val="007C7848"/>
    <w:rsid w:val="007C7928"/>
    <w:rsid w:val="007D0DEE"/>
    <w:rsid w:val="007D11E8"/>
    <w:rsid w:val="007D26FC"/>
    <w:rsid w:val="007D3060"/>
    <w:rsid w:val="007D3BE9"/>
    <w:rsid w:val="007D3C3A"/>
    <w:rsid w:val="007D4CF3"/>
    <w:rsid w:val="007D4F9E"/>
    <w:rsid w:val="007D6112"/>
    <w:rsid w:val="007E4D69"/>
    <w:rsid w:val="007E51C2"/>
    <w:rsid w:val="007E53E4"/>
    <w:rsid w:val="007F00FA"/>
    <w:rsid w:val="007F10D9"/>
    <w:rsid w:val="007F4610"/>
    <w:rsid w:val="007F5FEE"/>
    <w:rsid w:val="007F600F"/>
    <w:rsid w:val="00803EA3"/>
    <w:rsid w:val="00805CE3"/>
    <w:rsid w:val="0080654E"/>
    <w:rsid w:val="008122D5"/>
    <w:rsid w:val="00813D52"/>
    <w:rsid w:val="00815277"/>
    <w:rsid w:val="00815459"/>
    <w:rsid w:val="008154AF"/>
    <w:rsid w:val="00816072"/>
    <w:rsid w:val="00820C97"/>
    <w:rsid w:val="00820ED0"/>
    <w:rsid w:val="00820F60"/>
    <w:rsid w:val="00821603"/>
    <w:rsid w:val="00821F71"/>
    <w:rsid w:val="008257A4"/>
    <w:rsid w:val="00825B82"/>
    <w:rsid w:val="00825FE7"/>
    <w:rsid w:val="008263E9"/>
    <w:rsid w:val="0083627F"/>
    <w:rsid w:val="00837F67"/>
    <w:rsid w:val="00841835"/>
    <w:rsid w:val="00842E58"/>
    <w:rsid w:val="008431C4"/>
    <w:rsid w:val="008473E5"/>
    <w:rsid w:val="00847610"/>
    <w:rsid w:val="00852618"/>
    <w:rsid w:val="008528DB"/>
    <w:rsid w:val="00854A6A"/>
    <w:rsid w:val="00855261"/>
    <w:rsid w:val="00855F1C"/>
    <w:rsid w:val="0085690F"/>
    <w:rsid w:val="0085742C"/>
    <w:rsid w:val="00861E43"/>
    <w:rsid w:val="00864D20"/>
    <w:rsid w:val="00867F97"/>
    <w:rsid w:val="00867FCF"/>
    <w:rsid w:val="0087534F"/>
    <w:rsid w:val="00875632"/>
    <w:rsid w:val="00876C1C"/>
    <w:rsid w:val="0088054A"/>
    <w:rsid w:val="008807E0"/>
    <w:rsid w:val="00880994"/>
    <w:rsid w:val="00881AA3"/>
    <w:rsid w:val="00884975"/>
    <w:rsid w:val="008852F4"/>
    <w:rsid w:val="00886D1D"/>
    <w:rsid w:val="00887CB8"/>
    <w:rsid w:val="00890A5A"/>
    <w:rsid w:val="00891D04"/>
    <w:rsid w:val="008926C8"/>
    <w:rsid w:val="0089367C"/>
    <w:rsid w:val="00893B82"/>
    <w:rsid w:val="008941B2"/>
    <w:rsid w:val="008976ED"/>
    <w:rsid w:val="008A169F"/>
    <w:rsid w:val="008A4DA5"/>
    <w:rsid w:val="008A56CF"/>
    <w:rsid w:val="008A5AA1"/>
    <w:rsid w:val="008A6296"/>
    <w:rsid w:val="008A6BAD"/>
    <w:rsid w:val="008A7834"/>
    <w:rsid w:val="008B0E59"/>
    <w:rsid w:val="008B46EA"/>
    <w:rsid w:val="008B4A53"/>
    <w:rsid w:val="008C0620"/>
    <w:rsid w:val="008C0D4E"/>
    <w:rsid w:val="008C35CD"/>
    <w:rsid w:val="008C3961"/>
    <w:rsid w:val="008C3D80"/>
    <w:rsid w:val="008C4C88"/>
    <w:rsid w:val="008C5258"/>
    <w:rsid w:val="008D1326"/>
    <w:rsid w:val="008D1332"/>
    <w:rsid w:val="008D1F84"/>
    <w:rsid w:val="008D37F6"/>
    <w:rsid w:val="008D49CB"/>
    <w:rsid w:val="008D6D9E"/>
    <w:rsid w:val="008D709B"/>
    <w:rsid w:val="008D7A04"/>
    <w:rsid w:val="008E020F"/>
    <w:rsid w:val="008E2C93"/>
    <w:rsid w:val="008E4616"/>
    <w:rsid w:val="008E61B9"/>
    <w:rsid w:val="008E6FD3"/>
    <w:rsid w:val="008F0EB6"/>
    <w:rsid w:val="008F1C57"/>
    <w:rsid w:val="008F1D89"/>
    <w:rsid w:val="008F2C17"/>
    <w:rsid w:val="008F4261"/>
    <w:rsid w:val="008F6D35"/>
    <w:rsid w:val="008F70B8"/>
    <w:rsid w:val="00901419"/>
    <w:rsid w:val="009025BD"/>
    <w:rsid w:val="0090302D"/>
    <w:rsid w:val="00903A23"/>
    <w:rsid w:val="00905545"/>
    <w:rsid w:val="00907F91"/>
    <w:rsid w:val="0091141B"/>
    <w:rsid w:val="00911D7C"/>
    <w:rsid w:val="00913171"/>
    <w:rsid w:val="00913406"/>
    <w:rsid w:val="0091366E"/>
    <w:rsid w:val="00913B85"/>
    <w:rsid w:val="0091402D"/>
    <w:rsid w:val="00914BAE"/>
    <w:rsid w:val="0091691A"/>
    <w:rsid w:val="00916A3E"/>
    <w:rsid w:val="00921925"/>
    <w:rsid w:val="009222A6"/>
    <w:rsid w:val="00922934"/>
    <w:rsid w:val="00925094"/>
    <w:rsid w:val="00925AD0"/>
    <w:rsid w:val="0093006A"/>
    <w:rsid w:val="009328DB"/>
    <w:rsid w:val="00935544"/>
    <w:rsid w:val="009362B2"/>
    <w:rsid w:val="00940A87"/>
    <w:rsid w:val="00941490"/>
    <w:rsid w:val="0094193C"/>
    <w:rsid w:val="00943DBC"/>
    <w:rsid w:val="00943DD3"/>
    <w:rsid w:val="0094796D"/>
    <w:rsid w:val="00960B84"/>
    <w:rsid w:val="009636F0"/>
    <w:rsid w:val="009657E3"/>
    <w:rsid w:val="00967832"/>
    <w:rsid w:val="009734A0"/>
    <w:rsid w:val="00980672"/>
    <w:rsid w:val="009807A3"/>
    <w:rsid w:val="00980807"/>
    <w:rsid w:val="00982527"/>
    <w:rsid w:val="00983537"/>
    <w:rsid w:val="00983FF9"/>
    <w:rsid w:val="00984E89"/>
    <w:rsid w:val="00986F7C"/>
    <w:rsid w:val="00990083"/>
    <w:rsid w:val="00994BFA"/>
    <w:rsid w:val="00997342"/>
    <w:rsid w:val="009A1FFF"/>
    <w:rsid w:val="009A265B"/>
    <w:rsid w:val="009A30A3"/>
    <w:rsid w:val="009A6675"/>
    <w:rsid w:val="009A7808"/>
    <w:rsid w:val="009A7B46"/>
    <w:rsid w:val="009B012B"/>
    <w:rsid w:val="009B3034"/>
    <w:rsid w:val="009B4859"/>
    <w:rsid w:val="009B6681"/>
    <w:rsid w:val="009B690E"/>
    <w:rsid w:val="009B72CB"/>
    <w:rsid w:val="009C2203"/>
    <w:rsid w:val="009C26C2"/>
    <w:rsid w:val="009C3B90"/>
    <w:rsid w:val="009C5C83"/>
    <w:rsid w:val="009C5FD5"/>
    <w:rsid w:val="009C6FC3"/>
    <w:rsid w:val="009D1986"/>
    <w:rsid w:val="009D27FE"/>
    <w:rsid w:val="009D51F9"/>
    <w:rsid w:val="009E21F5"/>
    <w:rsid w:val="009E2AB4"/>
    <w:rsid w:val="009E2F7F"/>
    <w:rsid w:val="009E3275"/>
    <w:rsid w:val="009E3B6E"/>
    <w:rsid w:val="009E3C0D"/>
    <w:rsid w:val="009E47A0"/>
    <w:rsid w:val="009E491C"/>
    <w:rsid w:val="009E589B"/>
    <w:rsid w:val="009E5E1C"/>
    <w:rsid w:val="009E75C6"/>
    <w:rsid w:val="009F2EFC"/>
    <w:rsid w:val="009F3D9E"/>
    <w:rsid w:val="009F5331"/>
    <w:rsid w:val="009F6AC6"/>
    <w:rsid w:val="009F7575"/>
    <w:rsid w:val="00A006A3"/>
    <w:rsid w:val="00A01DAD"/>
    <w:rsid w:val="00A03B1E"/>
    <w:rsid w:val="00A03C50"/>
    <w:rsid w:val="00A0619D"/>
    <w:rsid w:val="00A079B2"/>
    <w:rsid w:val="00A11371"/>
    <w:rsid w:val="00A12D59"/>
    <w:rsid w:val="00A1329D"/>
    <w:rsid w:val="00A265AC"/>
    <w:rsid w:val="00A2786E"/>
    <w:rsid w:val="00A30394"/>
    <w:rsid w:val="00A30E2D"/>
    <w:rsid w:val="00A319E6"/>
    <w:rsid w:val="00A3378D"/>
    <w:rsid w:val="00A34362"/>
    <w:rsid w:val="00A34615"/>
    <w:rsid w:val="00A349E2"/>
    <w:rsid w:val="00A3590C"/>
    <w:rsid w:val="00A35BB2"/>
    <w:rsid w:val="00A36262"/>
    <w:rsid w:val="00A366CC"/>
    <w:rsid w:val="00A36B9E"/>
    <w:rsid w:val="00A37EBE"/>
    <w:rsid w:val="00A40093"/>
    <w:rsid w:val="00A4115F"/>
    <w:rsid w:val="00A431D7"/>
    <w:rsid w:val="00A440A8"/>
    <w:rsid w:val="00A45401"/>
    <w:rsid w:val="00A51DF5"/>
    <w:rsid w:val="00A51F65"/>
    <w:rsid w:val="00A541FE"/>
    <w:rsid w:val="00A55723"/>
    <w:rsid w:val="00A5662E"/>
    <w:rsid w:val="00A56947"/>
    <w:rsid w:val="00A60045"/>
    <w:rsid w:val="00A61253"/>
    <w:rsid w:val="00A6243E"/>
    <w:rsid w:val="00A65F94"/>
    <w:rsid w:val="00A6675C"/>
    <w:rsid w:val="00A66DC8"/>
    <w:rsid w:val="00A71578"/>
    <w:rsid w:val="00A72195"/>
    <w:rsid w:val="00A734A6"/>
    <w:rsid w:val="00A736B3"/>
    <w:rsid w:val="00A73E97"/>
    <w:rsid w:val="00A748F5"/>
    <w:rsid w:val="00A7685F"/>
    <w:rsid w:val="00A76CA4"/>
    <w:rsid w:val="00A76FF2"/>
    <w:rsid w:val="00A7729E"/>
    <w:rsid w:val="00A77667"/>
    <w:rsid w:val="00A77A40"/>
    <w:rsid w:val="00A80191"/>
    <w:rsid w:val="00A823C8"/>
    <w:rsid w:val="00A839C6"/>
    <w:rsid w:val="00A91A39"/>
    <w:rsid w:val="00A9477A"/>
    <w:rsid w:val="00AA07EF"/>
    <w:rsid w:val="00AA28E7"/>
    <w:rsid w:val="00AA5400"/>
    <w:rsid w:val="00AA5774"/>
    <w:rsid w:val="00AA64C6"/>
    <w:rsid w:val="00AA6BAA"/>
    <w:rsid w:val="00AB1172"/>
    <w:rsid w:val="00AB54C6"/>
    <w:rsid w:val="00AB62E7"/>
    <w:rsid w:val="00AC0072"/>
    <w:rsid w:val="00AC0DFD"/>
    <w:rsid w:val="00AC2C7C"/>
    <w:rsid w:val="00AC4D4D"/>
    <w:rsid w:val="00AC70EE"/>
    <w:rsid w:val="00AC7A45"/>
    <w:rsid w:val="00AD00BB"/>
    <w:rsid w:val="00AD2D12"/>
    <w:rsid w:val="00AD5E8E"/>
    <w:rsid w:val="00AD6B99"/>
    <w:rsid w:val="00AD7AF9"/>
    <w:rsid w:val="00AE0079"/>
    <w:rsid w:val="00AE11E6"/>
    <w:rsid w:val="00AE34C0"/>
    <w:rsid w:val="00AE6617"/>
    <w:rsid w:val="00AE7DBB"/>
    <w:rsid w:val="00AE7E3A"/>
    <w:rsid w:val="00AF0A2B"/>
    <w:rsid w:val="00AF27D1"/>
    <w:rsid w:val="00AF2DF3"/>
    <w:rsid w:val="00AF5732"/>
    <w:rsid w:val="00B03B6C"/>
    <w:rsid w:val="00B058E7"/>
    <w:rsid w:val="00B0693F"/>
    <w:rsid w:val="00B121CE"/>
    <w:rsid w:val="00B1305F"/>
    <w:rsid w:val="00B13D5F"/>
    <w:rsid w:val="00B15034"/>
    <w:rsid w:val="00B151F9"/>
    <w:rsid w:val="00B16478"/>
    <w:rsid w:val="00B16618"/>
    <w:rsid w:val="00B16680"/>
    <w:rsid w:val="00B20A4A"/>
    <w:rsid w:val="00B22372"/>
    <w:rsid w:val="00B2246A"/>
    <w:rsid w:val="00B231F5"/>
    <w:rsid w:val="00B240F8"/>
    <w:rsid w:val="00B2475B"/>
    <w:rsid w:val="00B30DFE"/>
    <w:rsid w:val="00B3263D"/>
    <w:rsid w:val="00B356E0"/>
    <w:rsid w:val="00B357B4"/>
    <w:rsid w:val="00B37541"/>
    <w:rsid w:val="00B40E44"/>
    <w:rsid w:val="00B44106"/>
    <w:rsid w:val="00B521BE"/>
    <w:rsid w:val="00B53A4F"/>
    <w:rsid w:val="00B55159"/>
    <w:rsid w:val="00B55C7C"/>
    <w:rsid w:val="00B60240"/>
    <w:rsid w:val="00B65100"/>
    <w:rsid w:val="00B67A49"/>
    <w:rsid w:val="00B702B9"/>
    <w:rsid w:val="00B7224B"/>
    <w:rsid w:val="00B75CBB"/>
    <w:rsid w:val="00B8043A"/>
    <w:rsid w:val="00B80E2B"/>
    <w:rsid w:val="00B832BC"/>
    <w:rsid w:val="00B84E0E"/>
    <w:rsid w:val="00B85442"/>
    <w:rsid w:val="00B87FFC"/>
    <w:rsid w:val="00B91C18"/>
    <w:rsid w:val="00B92178"/>
    <w:rsid w:val="00B9302F"/>
    <w:rsid w:val="00B942A4"/>
    <w:rsid w:val="00B94E08"/>
    <w:rsid w:val="00B95663"/>
    <w:rsid w:val="00B96284"/>
    <w:rsid w:val="00B96350"/>
    <w:rsid w:val="00B974B4"/>
    <w:rsid w:val="00BA1ED4"/>
    <w:rsid w:val="00BA27F7"/>
    <w:rsid w:val="00BA3309"/>
    <w:rsid w:val="00BA3752"/>
    <w:rsid w:val="00BA68DD"/>
    <w:rsid w:val="00BA737F"/>
    <w:rsid w:val="00BA7401"/>
    <w:rsid w:val="00BC0D52"/>
    <w:rsid w:val="00BC36DD"/>
    <w:rsid w:val="00BC543C"/>
    <w:rsid w:val="00BD25CF"/>
    <w:rsid w:val="00BD2B6B"/>
    <w:rsid w:val="00BD4562"/>
    <w:rsid w:val="00BD467F"/>
    <w:rsid w:val="00BD4D21"/>
    <w:rsid w:val="00BD5314"/>
    <w:rsid w:val="00BD7665"/>
    <w:rsid w:val="00BE0079"/>
    <w:rsid w:val="00BE0F88"/>
    <w:rsid w:val="00BE42C2"/>
    <w:rsid w:val="00BE5645"/>
    <w:rsid w:val="00BE5EE4"/>
    <w:rsid w:val="00BE5F3C"/>
    <w:rsid w:val="00BE6FAA"/>
    <w:rsid w:val="00BF020C"/>
    <w:rsid w:val="00BF0450"/>
    <w:rsid w:val="00BF2DD0"/>
    <w:rsid w:val="00BF5089"/>
    <w:rsid w:val="00BF51F3"/>
    <w:rsid w:val="00BF5B7E"/>
    <w:rsid w:val="00BF7CE9"/>
    <w:rsid w:val="00C020BD"/>
    <w:rsid w:val="00C02604"/>
    <w:rsid w:val="00C02743"/>
    <w:rsid w:val="00C0443C"/>
    <w:rsid w:val="00C052F9"/>
    <w:rsid w:val="00C07360"/>
    <w:rsid w:val="00C104DC"/>
    <w:rsid w:val="00C12581"/>
    <w:rsid w:val="00C17246"/>
    <w:rsid w:val="00C2024F"/>
    <w:rsid w:val="00C21086"/>
    <w:rsid w:val="00C215CF"/>
    <w:rsid w:val="00C2267D"/>
    <w:rsid w:val="00C243E2"/>
    <w:rsid w:val="00C246AE"/>
    <w:rsid w:val="00C2507F"/>
    <w:rsid w:val="00C350FE"/>
    <w:rsid w:val="00C35605"/>
    <w:rsid w:val="00C35715"/>
    <w:rsid w:val="00C35B89"/>
    <w:rsid w:val="00C42661"/>
    <w:rsid w:val="00C44C91"/>
    <w:rsid w:val="00C44F61"/>
    <w:rsid w:val="00C44F80"/>
    <w:rsid w:val="00C45866"/>
    <w:rsid w:val="00C4756E"/>
    <w:rsid w:val="00C50E43"/>
    <w:rsid w:val="00C53844"/>
    <w:rsid w:val="00C571E5"/>
    <w:rsid w:val="00C610BF"/>
    <w:rsid w:val="00C6230F"/>
    <w:rsid w:val="00C65CCF"/>
    <w:rsid w:val="00C66161"/>
    <w:rsid w:val="00C66542"/>
    <w:rsid w:val="00C708C9"/>
    <w:rsid w:val="00C7325D"/>
    <w:rsid w:val="00C732BE"/>
    <w:rsid w:val="00C73AF5"/>
    <w:rsid w:val="00C73CA9"/>
    <w:rsid w:val="00C77526"/>
    <w:rsid w:val="00C81110"/>
    <w:rsid w:val="00C81E41"/>
    <w:rsid w:val="00C8361A"/>
    <w:rsid w:val="00C85D2B"/>
    <w:rsid w:val="00C86107"/>
    <w:rsid w:val="00C862CD"/>
    <w:rsid w:val="00C8715E"/>
    <w:rsid w:val="00C91432"/>
    <w:rsid w:val="00C916C8"/>
    <w:rsid w:val="00C9230E"/>
    <w:rsid w:val="00C938DA"/>
    <w:rsid w:val="00C95476"/>
    <w:rsid w:val="00C95FC0"/>
    <w:rsid w:val="00C96076"/>
    <w:rsid w:val="00C9652D"/>
    <w:rsid w:val="00C9681A"/>
    <w:rsid w:val="00C9734E"/>
    <w:rsid w:val="00CA030C"/>
    <w:rsid w:val="00CA10B4"/>
    <w:rsid w:val="00CA2477"/>
    <w:rsid w:val="00CA4A05"/>
    <w:rsid w:val="00CB00BD"/>
    <w:rsid w:val="00CB0554"/>
    <w:rsid w:val="00CB08B7"/>
    <w:rsid w:val="00CB0FEF"/>
    <w:rsid w:val="00CB15E4"/>
    <w:rsid w:val="00CB2FE2"/>
    <w:rsid w:val="00CB4B9D"/>
    <w:rsid w:val="00CB5B1D"/>
    <w:rsid w:val="00CB7B4C"/>
    <w:rsid w:val="00CC0E02"/>
    <w:rsid w:val="00CC101F"/>
    <w:rsid w:val="00CC2453"/>
    <w:rsid w:val="00CC3A85"/>
    <w:rsid w:val="00CC7A9B"/>
    <w:rsid w:val="00CD10D1"/>
    <w:rsid w:val="00CD1431"/>
    <w:rsid w:val="00CD31DA"/>
    <w:rsid w:val="00CD45E0"/>
    <w:rsid w:val="00CE0128"/>
    <w:rsid w:val="00CE2C76"/>
    <w:rsid w:val="00CE78E1"/>
    <w:rsid w:val="00CF1B31"/>
    <w:rsid w:val="00CF4C3B"/>
    <w:rsid w:val="00CF5C39"/>
    <w:rsid w:val="00CF6047"/>
    <w:rsid w:val="00CF7466"/>
    <w:rsid w:val="00D00200"/>
    <w:rsid w:val="00D00379"/>
    <w:rsid w:val="00D018B8"/>
    <w:rsid w:val="00D0212C"/>
    <w:rsid w:val="00D02D6C"/>
    <w:rsid w:val="00D030C4"/>
    <w:rsid w:val="00D035DF"/>
    <w:rsid w:val="00D05267"/>
    <w:rsid w:val="00D0551A"/>
    <w:rsid w:val="00D06FAB"/>
    <w:rsid w:val="00D11D9A"/>
    <w:rsid w:val="00D13566"/>
    <w:rsid w:val="00D1471F"/>
    <w:rsid w:val="00D14F09"/>
    <w:rsid w:val="00D14F82"/>
    <w:rsid w:val="00D1593A"/>
    <w:rsid w:val="00D171AC"/>
    <w:rsid w:val="00D21E09"/>
    <w:rsid w:val="00D22431"/>
    <w:rsid w:val="00D22636"/>
    <w:rsid w:val="00D2752A"/>
    <w:rsid w:val="00D303C2"/>
    <w:rsid w:val="00D31F86"/>
    <w:rsid w:val="00D33E22"/>
    <w:rsid w:val="00D3463F"/>
    <w:rsid w:val="00D34C52"/>
    <w:rsid w:val="00D414B1"/>
    <w:rsid w:val="00D450DE"/>
    <w:rsid w:val="00D46911"/>
    <w:rsid w:val="00D55AE0"/>
    <w:rsid w:val="00D55B26"/>
    <w:rsid w:val="00D55B42"/>
    <w:rsid w:val="00D55E35"/>
    <w:rsid w:val="00D60E0C"/>
    <w:rsid w:val="00D622AC"/>
    <w:rsid w:val="00D6486C"/>
    <w:rsid w:val="00D64F1F"/>
    <w:rsid w:val="00D6520A"/>
    <w:rsid w:val="00D6546F"/>
    <w:rsid w:val="00D662DA"/>
    <w:rsid w:val="00D676E1"/>
    <w:rsid w:val="00D739B5"/>
    <w:rsid w:val="00D74B7F"/>
    <w:rsid w:val="00D762DB"/>
    <w:rsid w:val="00D764B4"/>
    <w:rsid w:val="00D769AD"/>
    <w:rsid w:val="00D77572"/>
    <w:rsid w:val="00D77FB1"/>
    <w:rsid w:val="00D801D8"/>
    <w:rsid w:val="00D82C19"/>
    <w:rsid w:val="00D85888"/>
    <w:rsid w:val="00D86E15"/>
    <w:rsid w:val="00D870DB"/>
    <w:rsid w:val="00D919AB"/>
    <w:rsid w:val="00D97486"/>
    <w:rsid w:val="00DA0B66"/>
    <w:rsid w:val="00DA261A"/>
    <w:rsid w:val="00DA3EBB"/>
    <w:rsid w:val="00DB203F"/>
    <w:rsid w:val="00DB6429"/>
    <w:rsid w:val="00DB6ACF"/>
    <w:rsid w:val="00DC0461"/>
    <w:rsid w:val="00DC2799"/>
    <w:rsid w:val="00DC4163"/>
    <w:rsid w:val="00DC62B6"/>
    <w:rsid w:val="00DD0E44"/>
    <w:rsid w:val="00DD1EBF"/>
    <w:rsid w:val="00DD3F21"/>
    <w:rsid w:val="00DD5BA8"/>
    <w:rsid w:val="00DE01FC"/>
    <w:rsid w:val="00DE2415"/>
    <w:rsid w:val="00DE294E"/>
    <w:rsid w:val="00DE5045"/>
    <w:rsid w:val="00DE525E"/>
    <w:rsid w:val="00DF3523"/>
    <w:rsid w:val="00DF6826"/>
    <w:rsid w:val="00E017C5"/>
    <w:rsid w:val="00E02681"/>
    <w:rsid w:val="00E03377"/>
    <w:rsid w:val="00E062E9"/>
    <w:rsid w:val="00E121CC"/>
    <w:rsid w:val="00E12492"/>
    <w:rsid w:val="00E12E3C"/>
    <w:rsid w:val="00E14BB9"/>
    <w:rsid w:val="00E15144"/>
    <w:rsid w:val="00E16AE6"/>
    <w:rsid w:val="00E16B29"/>
    <w:rsid w:val="00E16D46"/>
    <w:rsid w:val="00E171AF"/>
    <w:rsid w:val="00E2031A"/>
    <w:rsid w:val="00E20DA5"/>
    <w:rsid w:val="00E213A3"/>
    <w:rsid w:val="00E21943"/>
    <w:rsid w:val="00E21BD1"/>
    <w:rsid w:val="00E21DE1"/>
    <w:rsid w:val="00E23012"/>
    <w:rsid w:val="00E237C7"/>
    <w:rsid w:val="00E25899"/>
    <w:rsid w:val="00E25E6D"/>
    <w:rsid w:val="00E2699E"/>
    <w:rsid w:val="00E27E78"/>
    <w:rsid w:val="00E32171"/>
    <w:rsid w:val="00E328D2"/>
    <w:rsid w:val="00E34372"/>
    <w:rsid w:val="00E362B2"/>
    <w:rsid w:val="00E43CBF"/>
    <w:rsid w:val="00E44D5B"/>
    <w:rsid w:val="00E45125"/>
    <w:rsid w:val="00E46224"/>
    <w:rsid w:val="00E465FC"/>
    <w:rsid w:val="00E51261"/>
    <w:rsid w:val="00E51C5C"/>
    <w:rsid w:val="00E52E00"/>
    <w:rsid w:val="00E5436E"/>
    <w:rsid w:val="00E548B2"/>
    <w:rsid w:val="00E55AA7"/>
    <w:rsid w:val="00E60FC6"/>
    <w:rsid w:val="00E620CA"/>
    <w:rsid w:val="00E646F6"/>
    <w:rsid w:val="00E664CC"/>
    <w:rsid w:val="00E66773"/>
    <w:rsid w:val="00E70077"/>
    <w:rsid w:val="00E72004"/>
    <w:rsid w:val="00E72967"/>
    <w:rsid w:val="00E72F68"/>
    <w:rsid w:val="00E743FC"/>
    <w:rsid w:val="00E76F7B"/>
    <w:rsid w:val="00E8138D"/>
    <w:rsid w:val="00E813E9"/>
    <w:rsid w:val="00E82704"/>
    <w:rsid w:val="00E8532D"/>
    <w:rsid w:val="00E8641B"/>
    <w:rsid w:val="00E86466"/>
    <w:rsid w:val="00E864A0"/>
    <w:rsid w:val="00E91A93"/>
    <w:rsid w:val="00E921E3"/>
    <w:rsid w:val="00E923FC"/>
    <w:rsid w:val="00E93EB1"/>
    <w:rsid w:val="00E93FC3"/>
    <w:rsid w:val="00E940A9"/>
    <w:rsid w:val="00E956F8"/>
    <w:rsid w:val="00E97A3D"/>
    <w:rsid w:val="00EA517E"/>
    <w:rsid w:val="00EA5A10"/>
    <w:rsid w:val="00EA70F2"/>
    <w:rsid w:val="00EA733E"/>
    <w:rsid w:val="00EB09D0"/>
    <w:rsid w:val="00EB1D74"/>
    <w:rsid w:val="00EB3828"/>
    <w:rsid w:val="00EC0FBD"/>
    <w:rsid w:val="00EC37F7"/>
    <w:rsid w:val="00EC46AB"/>
    <w:rsid w:val="00EC4A78"/>
    <w:rsid w:val="00EC4AC8"/>
    <w:rsid w:val="00EC5C0B"/>
    <w:rsid w:val="00EC60B6"/>
    <w:rsid w:val="00EC654B"/>
    <w:rsid w:val="00EC65DE"/>
    <w:rsid w:val="00EC79BA"/>
    <w:rsid w:val="00ED18F5"/>
    <w:rsid w:val="00ED3040"/>
    <w:rsid w:val="00ED3FED"/>
    <w:rsid w:val="00ED41AE"/>
    <w:rsid w:val="00ED799D"/>
    <w:rsid w:val="00EE156C"/>
    <w:rsid w:val="00EE3181"/>
    <w:rsid w:val="00EE6542"/>
    <w:rsid w:val="00EE671F"/>
    <w:rsid w:val="00EF3B44"/>
    <w:rsid w:val="00EF4CBA"/>
    <w:rsid w:val="00EF5C46"/>
    <w:rsid w:val="00EF5E57"/>
    <w:rsid w:val="00F05EB4"/>
    <w:rsid w:val="00F06C00"/>
    <w:rsid w:val="00F11AD5"/>
    <w:rsid w:val="00F11ED5"/>
    <w:rsid w:val="00F13513"/>
    <w:rsid w:val="00F20958"/>
    <w:rsid w:val="00F22667"/>
    <w:rsid w:val="00F23A03"/>
    <w:rsid w:val="00F23B09"/>
    <w:rsid w:val="00F2425D"/>
    <w:rsid w:val="00F33591"/>
    <w:rsid w:val="00F33B43"/>
    <w:rsid w:val="00F33ED2"/>
    <w:rsid w:val="00F35CBF"/>
    <w:rsid w:val="00F36465"/>
    <w:rsid w:val="00F36CCA"/>
    <w:rsid w:val="00F36D91"/>
    <w:rsid w:val="00F37D8D"/>
    <w:rsid w:val="00F4165F"/>
    <w:rsid w:val="00F424BD"/>
    <w:rsid w:val="00F442CE"/>
    <w:rsid w:val="00F442E3"/>
    <w:rsid w:val="00F44B4C"/>
    <w:rsid w:val="00F510BD"/>
    <w:rsid w:val="00F52FC1"/>
    <w:rsid w:val="00F609D4"/>
    <w:rsid w:val="00F60E02"/>
    <w:rsid w:val="00F6181B"/>
    <w:rsid w:val="00F6327C"/>
    <w:rsid w:val="00F64CAE"/>
    <w:rsid w:val="00F65A9B"/>
    <w:rsid w:val="00F67681"/>
    <w:rsid w:val="00F71C34"/>
    <w:rsid w:val="00F728E0"/>
    <w:rsid w:val="00F72E2F"/>
    <w:rsid w:val="00F74337"/>
    <w:rsid w:val="00F74EA2"/>
    <w:rsid w:val="00F754C9"/>
    <w:rsid w:val="00F7574B"/>
    <w:rsid w:val="00F75D4E"/>
    <w:rsid w:val="00F81441"/>
    <w:rsid w:val="00F81689"/>
    <w:rsid w:val="00F81A89"/>
    <w:rsid w:val="00F82B49"/>
    <w:rsid w:val="00F849E0"/>
    <w:rsid w:val="00F84D5D"/>
    <w:rsid w:val="00F86E8A"/>
    <w:rsid w:val="00F875F0"/>
    <w:rsid w:val="00F87EDA"/>
    <w:rsid w:val="00F90380"/>
    <w:rsid w:val="00F904F6"/>
    <w:rsid w:val="00F9165F"/>
    <w:rsid w:val="00F937A0"/>
    <w:rsid w:val="00F93C69"/>
    <w:rsid w:val="00F979D6"/>
    <w:rsid w:val="00FA06F3"/>
    <w:rsid w:val="00FA0A95"/>
    <w:rsid w:val="00FA5681"/>
    <w:rsid w:val="00FA5FCB"/>
    <w:rsid w:val="00FA770A"/>
    <w:rsid w:val="00FA7738"/>
    <w:rsid w:val="00FB3424"/>
    <w:rsid w:val="00FB343D"/>
    <w:rsid w:val="00FB3B49"/>
    <w:rsid w:val="00FB4877"/>
    <w:rsid w:val="00FB4904"/>
    <w:rsid w:val="00FC0B69"/>
    <w:rsid w:val="00FC0FB8"/>
    <w:rsid w:val="00FC3381"/>
    <w:rsid w:val="00FC423E"/>
    <w:rsid w:val="00FC53BB"/>
    <w:rsid w:val="00FC543A"/>
    <w:rsid w:val="00FC704E"/>
    <w:rsid w:val="00FD1FF7"/>
    <w:rsid w:val="00FD21E5"/>
    <w:rsid w:val="00FD4C39"/>
    <w:rsid w:val="00FD64C6"/>
    <w:rsid w:val="00FD67D5"/>
    <w:rsid w:val="00FE2F31"/>
    <w:rsid w:val="00FE4811"/>
    <w:rsid w:val="00FF05DB"/>
    <w:rsid w:val="00FF157E"/>
    <w:rsid w:val="00FF206D"/>
    <w:rsid w:val="00FF23A6"/>
    <w:rsid w:val="00FF4FF8"/>
    <w:rsid w:val="00FF6210"/>
    <w:rsid w:val="00FF67D9"/>
    <w:rsid w:val="030D088E"/>
    <w:rsid w:val="04B52C5F"/>
    <w:rsid w:val="060914B4"/>
    <w:rsid w:val="063E6625"/>
    <w:rsid w:val="06B50CF4"/>
    <w:rsid w:val="06BC0627"/>
    <w:rsid w:val="06FC4B75"/>
    <w:rsid w:val="07163EB0"/>
    <w:rsid w:val="07B4622B"/>
    <w:rsid w:val="081B50B8"/>
    <w:rsid w:val="083E11BD"/>
    <w:rsid w:val="08AE5130"/>
    <w:rsid w:val="09077DF6"/>
    <w:rsid w:val="0A2B4AC8"/>
    <w:rsid w:val="0A3D235F"/>
    <w:rsid w:val="0B892750"/>
    <w:rsid w:val="0CB20717"/>
    <w:rsid w:val="0D6A3C7D"/>
    <w:rsid w:val="0DB91B8A"/>
    <w:rsid w:val="0DD234CD"/>
    <w:rsid w:val="0EC844CB"/>
    <w:rsid w:val="0EF5646B"/>
    <w:rsid w:val="0F0C3DC3"/>
    <w:rsid w:val="0F14570A"/>
    <w:rsid w:val="11127AD9"/>
    <w:rsid w:val="115C3D86"/>
    <w:rsid w:val="121976AB"/>
    <w:rsid w:val="12A37EB1"/>
    <w:rsid w:val="12AA75D9"/>
    <w:rsid w:val="13297EEE"/>
    <w:rsid w:val="136D486E"/>
    <w:rsid w:val="13D0156D"/>
    <w:rsid w:val="148B76A9"/>
    <w:rsid w:val="14A90124"/>
    <w:rsid w:val="16B02579"/>
    <w:rsid w:val="16C559E7"/>
    <w:rsid w:val="17703B16"/>
    <w:rsid w:val="17FD742D"/>
    <w:rsid w:val="19314B52"/>
    <w:rsid w:val="19D065BE"/>
    <w:rsid w:val="1A851241"/>
    <w:rsid w:val="1AF51E4F"/>
    <w:rsid w:val="1BB8267A"/>
    <w:rsid w:val="1C3753C4"/>
    <w:rsid w:val="1E2F3444"/>
    <w:rsid w:val="1FCD4EA9"/>
    <w:rsid w:val="1FDD6F77"/>
    <w:rsid w:val="204E2175"/>
    <w:rsid w:val="20860707"/>
    <w:rsid w:val="21AB7881"/>
    <w:rsid w:val="22CC0918"/>
    <w:rsid w:val="22E93AFB"/>
    <w:rsid w:val="231C29FF"/>
    <w:rsid w:val="23503E27"/>
    <w:rsid w:val="24831FDA"/>
    <w:rsid w:val="24A24B56"/>
    <w:rsid w:val="24AC7783"/>
    <w:rsid w:val="24E770D5"/>
    <w:rsid w:val="253B28B5"/>
    <w:rsid w:val="25920B1C"/>
    <w:rsid w:val="25C02D1B"/>
    <w:rsid w:val="25E90563"/>
    <w:rsid w:val="26880B44"/>
    <w:rsid w:val="26D12587"/>
    <w:rsid w:val="282019C0"/>
    <w:rsid w:val="2822719A"/>
    <w:rsid w:val="286A117F"/>
    <w:rsid w:val="28A02B0A"/>
    <w:rsid w:val="29085C24"/>
    <w:rsid w:val="29176ED2"/>
    <w:rsid w:val="2A1C0F07"/>
    <w:rsid w:val="2AFC2AE6"/>
    <w:rsid w:val="2D3F20C1"/>
    <w:rsid w:val="2F515453"/>
    <w:rsid w:val="2F5F00F1"/>
    <w:rsid w:val="2F9D6A5C"/>
    <w:rsid w:val="30E3452C"/>
    <w:rsid w:val="31197F4E"/>
    <w:rsid w:val="312C66EB"/>
    <w:rsid w:val="31EE1BB1"/>
    <w:rsid w:val="32011632"/>
    <w:rsid w:val="32515D2A"/>
    <w:rsid w:val="32DF46CD"/>
    <w:rsid w:val="3347115E"/>
    <w:rsid w:val="343146C9"/>
    <w:rsid w:val="34CF12E3"/>
    <w:rsid w:val="34E23759"/>
    <w:rsid w:val="34F150E6"/>
    <w:rsid w:val="3506671D"/>
    <w:rsid w:val="35740366"/>
    <w:rsid w:val="36786345"/>
    <w:rsid w:val="36F32539"/>
    <w:rsid w:val="37BA1D5F"/>
    <w:rsid w:val="37C53596"/>
    <w:rsid w:val="3959587E"/>
    <w:rsid w:val="396D1307"/>
    <w:rsid w:val="39AD6DEB"/>
    <w:rsid w:val="3B1E6567"/>
    <w:rsid w:val="3B8C4FC2"/>
    <w:rsid w:val="3CE471D7"/>
    <w:rsid w:val="3D3678D6"/>
    <w:rsid w:val="3D7E46DE"/>
    <w:rsid w:val="3DC70090"/>
    <w:rsid w:val="3DCE530E"/>
    <w:rsid w:val="3E7F4A22"/>
    <w:rsid w:val="3F4D2F8F"/>
    <w:rsid w:val="3FA54C91"/>
    <w:rsid w:val="40095632"/>
    <w:rsid w:val="40352900"/>
    <w:rsid w:val="40572841"/>
    <w:rsid w:val="40611E59"/>
    <w:rsid w:val="40DC6ED9"/>
    <w:rsid w:val="413E7432"/>
    <w:rsid w:val="42217366"/>
    <w:rsid w:val="42A8795B"/>
    <w:rsid w:val="446176FC"/>
    <w:rsid w:val="45232DCD"/>
    <w:rsid w:val="45C672F5"/>
    <w:rsid w:val="461F0F6F"/>
    <w:rsid w:val="475D3415"/>
    <w:rsid w:val="476345CD"/>
    <w:rsid w:val="477B05E9"/>
    <w:rsid w:val="497F7CB1"/>
    <w:rsid w:val="4A2F5102"/>
    <w:rsid w:val="4A396CB5"/>
    <w:rsid w:val="4AFA16E7"/>
    <w:rsid w:val="4C020185"/>
    <w:rsid w:val="4C1A1006"/>
    <w:rsid w:val="4C747065"/>
    <w:rsid w:val="4D12122E"/>
    <w:rsid w:val="4DB72B71"/>
    <w:rsid w:val="4DC158CA"/>
    <w:rsid w:val="4E586A82"/>
    <w:rsid w:val="4EB946C7"/>
    <w:rsid w:val="4EE65596"/>
    <w:rsid w:val="4F855F69"/>
    <w:rsid w:val="4FB31116"/>
    <w:rsid w:val="50372EB0"/>
    <w:rsid w:val="50AE01DA"/>
    <w:rsid w:val="517D7C2E"/>
    <w:rsid w:val="533A5CDF"/>
    <w:rsid w:val="56104270"/>
    <w:rsid w:val="572C012C"/>
    <w:rsid w:val="575256B8"/>
    <w:rsid w:val="57C2283E"/>
    <w:rsid w:val="57EA00F8"/>
    <w:rsid w:val="57EB16B7"/>
    <w:rsid w:val="587D49B7"/>
    <w:rsid w:val="58803EC3"/>
    <w:rsid w:val="58816A2A"/>
    <w:rsid w:val="588875E4"/>
    <w:rsid w:val="58891FEC"/>
    <w:rsid w:val="58933893"/>
    <w:rsid w:val="59262959"/>
    <w:rsid w:val="59C97EB4"/>
    <w:rsid w:val="5A3B4B4C"/>
    <w:rsid w:val="5B543F38"/>
    <w:rsid w:val="5BF61A8E"/>
    <w:rsid w:val="5CD85065"/>
    <w:rsid w:val="5D046B07"/>
    <w:rsid w:val="5D725617"/>
    <w:rsid w:val="5D7A3B85"/>
    <w:rsid w:val="5D8B07BA"/>
    <w:rsid w:val="5DA23718"/>
    <w:rsid w:val="5DF04E9F"/>
    <w:rsid w:val="5E0402F8"/>
    <w:rsid w:val="5F0E2DFB"/>
    <w:rsid w:val="5F1C7479"/>
    <w:rsid w:val="5F5604EA"/>
    <w:rsid w:val="5F6C3AC9"/>
    <w:rsid w:val="601A618E"/>
    <w:rsid w:val="6051035E"/>
    <w:rsid w:val="61784695"/>
    <w:rsid w:val="61911C73"/>
    <w:rsid w:val="6198529C"/>
    <w:rsid w:val="6203158E"/>
    <w:rsid w:val="629D6263"/>
    <w:rsid w:val="63416D0D"/>
    <w:rsid w:val="637013A0"/>
    <w:rsid w:val="63843411"/>
    <w:rsid w:val="639C21E4"/>
    <w:rsid w:val="64153CF6"/>
    <w:rsid w:val="64485E79"/>
    <w:rsid w:val="649738D0"/>
    <w:rsid w:val="64E9765C"/>
    <w:rsid w:val="64F91BD9"/>
    <w:rsid w:val="651C793D"/>
    <w:rsid w:val="66630D48"/>
    <w:rsid w:val="67646A74"/>
    <w:rsid w:val="67902858"/>
    <w:rsid w:val="68BB1A4C"/>
    <w:rsid w:val="68FD0F86"/>
    <w:rsid w:val="6B3E7FD6"/>
    <w:rsid w:val="6B68305E"/>
    <w:rsid w:val="6DFF1312"/>
    <w:rsid w:val="6E1B309B"/>
    <w:rsid w:val="6E7206C2"/>
    <w:rsid w:val="6FB55994"/>
    <w:rsid w:val="6FC20068"/>
    <w:rsid w:val="702F5093"/>
    <w:rsid w:val="705E07E2"/>
    <w:rsid w:val="70DC6E17"/>
    <w:rsid w:val="70F83BE7"/>
    <w:rsid w:val="71632544"/>
    <w:rsid w:val="71841497"/>
    <w:rsid w:val="71887FA5"/>
    <w:rsid w:val="71A072F4"/>
    <w:rsid w:val="71F7560E"/>
    <w:rsid w:val="729F6EEB"/>
    <w:rsid w:val="72BF02F3"/>
    <w:rsid w:val="736507F6"/>
    <w:rsid w:val="73921220"/>
    <w:rsid w:val="73CA5C17"/>
    <w:rsid w:val="73FC458A"/>
    <w:rsid w:val="74474765"/>
    <w:rsid w:val="75977649"/>
    <w:rsid w:val="75A2558A"/>
    <w:rsid w:val="772E2639"/>
    <w:rsid w:val="77B72D5D"/>
    <w:rsid w:val="794F5FAA"/>
    <w:rsid w:val="7A754286"/>
    <w:rsid w:val="7AAD1E5B"/>
    <w:rsid w:val="7B2A7C2F"/>
    <w:rsid w:val="7BCC710C"/>
    <w:rsid w:val="7D060D51"/>
    <w:rsid w:val="7D950E42"/>
    <w:rsid w:val="7D967F31"/>
    <w:rsid w:val="7E205DE8"/>
    <w:rsid w:val="7EDE320A"/>
    <w:rsid w:val="7F6D4189"/>
    <w:rsid w:val="7FA80746"/>
    <w:rsid w:val="7FF65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Calibri"/>
      <w:kern w:val="2"/>
      <w:sz w:val="21"/>
      <w:szCs w:val="21"/>
      <w:lang w:val="en-US" w:eastAsia="zh-CN" w:bidi="ar-SA"/>
    </w:rPr>
  </w:style>
  <w:style w:type="paragraph" w:styleId="2">
    <w:name w:val="heading 1"/>
    <w:basedOn w:val="1"/>
    <w:next w:val="1"/>
    <w:link w:val="36"/>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7"/>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8"/>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9"/>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40"/>
    <w:unhideWhenUsed/>
    <w:qFormat/>
    <w:uiPriority w:val="9"/>
    <w:pPr>
      <w:keepNext/>
      <w:keepLines/>
      <w:spacing w:before="280" w:after="290" w:line="376" w:lineRule="atLeast"/>
      <w:outlineLvl w:val="4"/>
    </w:pPr>
    <w:rPr>
      <w:b/>
      <w:bCs/>
      <w:sz w:val="28"/>
      <w:szCs w:val="28"/>
    </w:rPr>
  </w:style>
  <w:style w:type="paragraph" w:styleId="7">
    <w:name w:val="heading 6"/>
    <w:basedOn w:val="1"/>
    <w:next w:val="1"/>
    <w:link w:val="41"/>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42"/>
    <w:unhideWhenUsed/>
    <w:qFormat/>
    <w:uiPriority w:val="9"/>
    <w:pPr>
      <w:keepNext/>
      <w:keepLines/>
      <w:spacing w:before="240" w:after="64" w:line="320" w:lineRule="atLeast"/>
      <w:outlineLvl w:val="6"/>
    </w:pPr>
    <w:rPr>
      <w:b/>
      <w:bCs/>
      <w:sz w:val="24"/>
      <w:szCs w:val="24"/>
    </w:rPr>
  </w:style>
  <w:style w:type="paragraph" w:styleId="9">
    <w:name w:val="heading 8"/>
    <w:basedOn w:val="1"/>
    <w:next w:val="1"/>
    <w:link w:val="43"/>
    <w:unhideWhenUsed/>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44"/>
    <w:unhideWhenUsed/>
    <w:qFormat/>
    <w:uiPriority w:val="9"/>
    <w:pPr>
      <w:keepNext/>
      <w:keepLines/>
      <w:spacing w:before="240" w:after="64" w:line="320" w:lineRule="atLeast"/>
      <w:outlineLvl w:val="8"/>
    </w:pPr>
    <w:rPr>
      <w:rFonts w:asciiTheme="majorHAnsi" w:hAnsiTheme="majorHAnsi" w:eastAsiaTheme="majorEastAsia" w:cstheme="majorBidi"/>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annotation text"/>
    <w:basedOn w:val="1"/>
    <w:link w:val="93"/>
    <w:unhideWhenUsed/>
    <w:qFormat/>
    <w:uiPriority w:val="0"/>
    <w:pPr>
      <w:adjustRightInd/>
      <w:spacing w:line="240" w:lineRule="auto"/>
      <w:jc w:val="left"/>
    </w:pPr>
    <w:rPr>
      <w:rFonts w:ascii="Times New Roman" w:hAnsi="Times New Roman" w:cstheme="minorBidi"/>
      <w:szCs w:val="24"/>
    </w:rPr>
  </w:style>
  <w:style w:type="paragraph" w:styleId="13">
    <w:name w:val="toc 3"/>
    <w:basedOn w:val="1"/>
    <w:next w:val="1"/>
    <w:unhideWhenUsed/>
    <w:qFormat/>
    <w:uiPriority w:val="39"/>
    <w:pPr>
      <w:ind w:left="840" w:leftChars="400"/>
    </w:pPr>
  </w:style>
  <w:style w:type="paragraph" w:styleId="14">
    <w:name w:val="Plain Text"/>
    <w:basedOn w:val="1"/>
    <w:qFormat/>
    <w:uiPriority w:val="99"/>
    <w:rPr>
      <w:rFonts w:ascii="宋体" w:hAnsi="Courier New"/>
      <w:szCs w:val="20"/>
    </w:rPr>
  </w:style>
  <w:style w:type="paragraph" w:styleId="15">
    <w:name w:val="Date"/>
    <w:basedOn w:val="1"/>
    <w:next w:val="1"/>
    <w:link w:val="121"/>
    <w:semiHidden/>
    <w:unhideWhenUsed/>
    <w:qFormat/>
    <w:uiPriority w:val="99"/>
  </w:style>
  <w:style w:type="paragraph" w:styleId="16">
    <w:name w:val="Balloon Text"/>
    <w:basedOn w:val="1"/>
    <w:link w:val="35"/>
    <w:semiHidden/>
    <w:unhideWhenUsed/>
    <w:qFormat/>
    <w:uiPriority w:val="99"/>
    <w:pPr>
      <w:spacing w:line="240" w:lineRule="auto"/>
    </w:pPr>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unhideWhenUsed/>
    <w:qFormat/>
    <w:uiPriority w:val="39"/>
    <w:pPr>
      <w:tabs>
        <w:tab w:val="left" w:pos="567"/>
        <w:tab w:val="right" w:leader="dot" w:pos="9060"/>
      </w:tabs>
      <w:jc w:val="left"/>
    </w:pPr>
    <w:rPr>
      <w:rFonts w:ascii="Times New Roman" w:hAnsi="Times New Roman"/>
    </w:rPr>
  </w:style>
  <w:style w:type="paragraph" w:styleId="20">
    <w:name w:val="Subtitle"/>
    <w:basedOn w:val="1"/>
    <w:next w:val="1"/>
    <w:link w:val="50"/>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21">
    <w:name w:val="table of figures"/>
    <w:basedOn w:val="1"/>
    <w:next w:val="1"/>
    <w:link w:val="78"/>
    <w:unhideWhenUsed/>
    <w:qFormat/>
    <w:uiPriority w:val="99"/>
    <w:pPr>
      <w:ind w:left="200" w:leftChars="200" w:hanging="200" w:hangingChars="200"/>
    </w:pPr>
  </w:style>
  <w:style w:type="paragraph" w:styleId="22">
    <w:name w:val="toc 2"/>
    <w:basedOn w:val="1"/>
    <w:next w:val="1"/>
    <w:unhideWhenUsed/>
    <w:qFormat/>
    <w:uiPriority w:val="39"/>
    <w:pPr>
      <w:ind w:left="420" w:leftChars="200"/>
    </w:pPr>
  </w:style>
  <w:style w:type="paragraph" w:styleId="23">
    <w:name w:val="Normal (Web)"/>
    <w:basedOn w:val="1"/>
    <w:unhideWhenUsed/>
    <w:qFormat/>
    <w:uiPriority w:val="99"/>
    <w:rPr>
      <w:sz w:val="24"/>
    </w:rPr>
  </w:style>
  <w:style w:type="paragraph" w:styleId="24">
    <w:name w:val="Title"/>
    <w:basedOn w:val="1"/>
    <w:next w:val="1"/>
    <w:link w:val="45"/>
    <w:qFormat/>
    <w:uiPriority w:val="10"/>
    <w:pPr>
      <w:spacing w:before="240" w:after="60"/>
      <w:jc w:val="center"/>
      <w:outlineLvl w:val="0"/>
    </w:pPr>
    <w:rPr>
      <w:rFonts w:asciiTheme="majorHAnsi" w:hAnsiTheme="majorHAnsi" w:eastAsiaTheme="majorEastAsia" w:cstheme="majorBidi"/>
      <w:b/>
      <w:bCs/>
      <w:sz w:val="32"/>
      <w:szCs w:val="32"/>
    </w:rPr>
  </w:style>
  <w:style w:type="paragraph" w:styleId="25">
    <w:name w:val="annotation subject"/>
    <w:basedOn w:val="12"/>
    <w:next w:val="12"/>
    <w:link w:val="119"/>
    <w:semiHidden/>
    <w:unhideWhenUsed/>
    <w:qFormat/>
    <w:uiPriority w:val="99"/>
    <w:pPr>
      <w:adjustRightInd w:val="0"/>
      <w:spacing w:line="400" w:lineRule="exact"/>
    </w:pPr>
    <w:rPr>
      <w:rFonts w:ascii="Calibri" w:hAnsi="Calibri" w:cs="Calibri"/>
      <w:b/>
      <w:bCs/>
      <w:szCs w:val="21"/>
    </w:rPr>
  </w:style>
  <w:style w:type="table" w:styleId="27">
    <w:name w:val="Table Grid"/>
    <w:basedOn w:val="26"/>
    <w:qFormat/>
    <w:uiPriority w:val="3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rPr>
  </w:style>
  <w:style w:type="character" w:styleId="30">
    <w:name w:val="page number"/>
    <w:basedOn w:val="28"/>
    <w:qFormat/>
    <w:uiPriority w:val="0"/>
    <w:rPr>
      <w:rFonts w:ascii="宋体" w:hAnsi="Times New Roman" w:eastAsia="宋体" w:cs="宋体"/>
      <w:sz w:val="18"/>
      <w:szCs w:val="18"/>
    </w:rPr>
  </w:style>
  <w:style w:type="character" w:styleId="31">
    <w:name w:val="Hyperlink"/>
    <w:basedOn w:val="28"/>
    <w:unhideWhenUsed/>
    <w:qFormat/>
    <w:uiPriority w:val="99"/>
    <w:rPr>
      <w:color w:val="0563C1" w:themeColor="hyperlink"/>
      <w:u w:val="single"/>
      <w14:textFill>
        <w14:solidFill>
          <w14:schemeClr w14:val="hlink"/>
        </w14:solidFill>
      </w14:textFill>
    </w:rPr>
  </w:style>
  <w:style w:type="character" w:styleId="32">
    <w:name w:val="annotation reference"/>
    <w:unhideWhenUsed/>
    <w:qFormat/>
    <w:uiPriority w:val="0"/>
    <w:rPr>
      <w:sz w:val="21"/>
      <w:szCs w:val="21"/>
    </w:rPr>
  </w:style>
  <w:style w:type="character" w:customStyle="1" w:styleId="33">
    <w:name w:val="页眉 字符"/>
    <w:basedOn w:val="28"/>
    <w:link w:val="18"/>
    <w:qFormat/>
    <w:uiPriority w:val="99"/>
    <w:rPr>
      <w:rFonts w:ascii="Calibri" w:hAnsi="Calibri" w:eastAsia="宋体" w:cs="Calibri"/>
      <w:sz w:val="18"/>
      <w:szCs w:val="18"/>
    </w:rPr>
  </w:style>
  <w:style w:type="character" w:customStyle="1" w:styleId="34">
    <w:name w:val="页脚 字符"/>
    <w:basedOn w:val="28"/>
    <w:link w:val="17"/>
    <w:qFormat/>
    <w:uiPriority w:val="99"/>
    <w:rPr>
      <w:sz w:val="18"/>
      <w:szCs w:val="18"/>
    </w:rPr>
  </w:style>
  <w:style w:type="character" w:customStyle="1" w:styleId="35">
    <w:name w:val="批注框文本 字符"/>
    <w:basedOn w:val="28"/>
    <w:link w:val="16"/>
    <w:semiHidden/>
    <w:qFormat/>
    <w:uiPriority w:val="99"/>
    <w:rPr>
      <w:rFonts w:ascii="Calibri" w:hAnsi="Calibri" w:eastAsia="宋体" w:cs="Calibri"/>
      <w:sz w:val="18"/>
      <w:szCs w:val="18"/>
    </w:rPr>
  </w:style>
  <w:style w:type="character" w:customStyle="1" w:styleId="36">
    <w:name w:val="标题 1 字符"/>
    <w:basedOn w:val="28"/>
    <w:link w:val="2"/>
    <w:qFormat/>
    <w:uiPriority w:val="9"/>
    <w:rPr>
      <w:rFonts w:ascii="Calibri" w:hAnsi="Calibri" w:eastAsia="宋体" w:cs="Calibri"/>
      <w:b/>
      <w:bCs/>
      <w:kern w:val="44"/>
      <w:sz w:val="44"/>
      <w:szCs w:val="44"/>
    </w:rPr>
  </w:style>
  <w:style w:type="character" w:customStyle="1" w:styleId="37">
    <w:name w:val="标题 2 字符"/>
    <w:basedOn w:val="28"/>
    <w:link w:val="3"/>
    <w:qFormat/>
    <w:uiPriority w:val="9"/>
    <w:rPr>
      <w:rFonts w:asciiTheme="majorHAnsi" w:hAnsiTheme="majorHAnsi" w:eastAsiaTheme="majorEastAsia" w:cstheme="majorBidi"/>
      <w:b/>
      <w:bCs/>
      <w:sz w:val="32"/>
      <w:szCs w:val="32"/>
    </w:rPr>
  </w:style>
  <w:style w:type="character" w:customStyle="1" w:styleId="38">
    <w:name w:val="标题 3 字符"/>
    <w:basedOn w:val="28"/>
    <w:link w:val="4"/>
    <w:qFormat/>
    <w:uiPriority w:val="9"/>
    <w:rPr>
      <w:rFonts w:ascii="Calibri" w:hAnsi="Calibri" w:eastAsia="宋体" w:cs="Calibri"/>
      <w:b/>
      <w:bCs/>
      <w:sz w:val="32"/>
      <w:szCs w:val="32"/>
    </w:rPr>
  </w:style>
  <w:style w:type="character" w:customStyle="1" w:styleId="39">
    <w:name w:val="标题 4 字符"/>
    <w:basedOn w:val="28"/>
    <w:link w:val="5"/>
    <w:qFormat/>
    <w:uiPriority w:val="9"/>
    <w:rPr>
      <w:rFonts w:asciiTheme="majorHAnsi" w:hAnsiTheme="majorHAnsi" w:eastAsiaTheme="majorEastAsia" w:cstheme="majorBidi"/>
      <w:b/>
      <w:bCs/>
      <w:sz w:val="28"/>
      <w:szCs w:val="28"/>
    </w:rPr>
  </w:style>
  <w:style w:type="character" w:customStyle="1" w:styleId="40">
    <w:name w:val="标题 5 字符"/>
    <w:basedOn w:val="28"/>
    <w:link w:val="6"/>
    <w:qFormat/>
    <w:uiPriority w:val="9"/>
    <w:rPr>
      <w:rFonts w:ascii="Calibri" w:hAnsi="Calibri" w:eastAsia="宋体" w:cs="Calibri"/>
      <w:b/>
      <w:bCs/>
      <w:sz w:val="28"/>
      <w:szCs w:val="28"/>
    </w:rPr>
  </w:style>
  <w:style w:type="character" w:customStyle="1" w:styleId="41">
    <w:name w:val="标题 6 字符"/>
    <w:basedOn w:val="28"/>
    <w:link w:val="7"/>
    <w:qFormat/>
    <w:uiPriority w:val="9"/>
    <w:rPr>
      <w:rFonts w:asciiTheme="majorHAnsi" w:hAnsiTheme="majorHAnsi" w:eastAsiaTheme="majorEastAsia" w:cstheme="majorBidi"/>
      <w:b/>
      <w:bCs/>
      <w:sz w:val="24"/>
      <w:szCs w:val="24"/>
    </w:rPr>
  </w:style>
  <w:style w:type="character" w:customStyle="1" w:styleId="42">
    <w:name w:val="标题 7 字符"/>
    <w:basedOn w:val="28"/>
    <w:link w:val="8"/>
    <w:qFormat/>
    <w:uiPriority w:val="9"/>
    <w:rPr>
      <w:rFonts w:ascii="Calibri" w:hAnsi="Calibri" w:eastAsia="宋体" w:cs="Calibri"/>
      <w:b/>
      <w:bCs/>
      <w:sz w:val="24"/>
      <w:szCs w:val="24"/>
    </w:rPr>
  </w:style>
  <w:style w:type="character" w:customStyle="1" w:styleId="43">
    <w:name w:val="标题 8 字符"/>
    <w:basedOn w:val="28"/>
    <w:link w:val="9"/>
    <w:qFormat/>
    <w:uiPriority w:val="9"/>
    <w:rPr>
      <w:rFonts w:asciiTheme="majorHAnsi" w:hAnsiTheme="majorHAnsi" w:eastAsiaTheme="majorEastAsia" w:cstheme="majorBidi"/>
      <w:sz w:val="24"/>
      <w:szCs w:val="24"/>
    </w:rPr>
  </w:style>
  <w:style w:type="character" w:customStyle="1" w:styleId="44">
    <w:name w:val="标题 9 字符"/>
    <w:basedOn w:val="28"/>
    <w:link w:val="10"/>
    <w:qFormat/>
    <w:uiPriority w:val="9"/>
    <w:rPr>
      <w:rFonts w:asciiTheme="majorHAnsi" w:hAnsiTheme="majorHAnsi" w:eastAsiaTheme="majorEastAsia" w:cstheme="majorBidi"/>
      <w:szCs w:val="21"/>
    </w:rPr>
  </w:style>
  <w:style w:type="character" w:customStyle="1" w:styleId="45">
    <w:name w:val="标题 字符"/>
    <w:basedOn w:val="28"/>
    <w:link w:val="24"/>
    <w:qFormat/>
    <w:uiPriority w:val="10"/>
    <w:rPr>
      <w:rFonts w:asciiTheme="majorHAnsi" w:hAnsiTheme="majorHAnsi" w:eastAsiaTheme="majorEastAsia" w:cstheme="majorBidi"/>
      <w:b/>
      <w:bCs/>
      <w:sz w:val="32"/>
      <w:szCs w:val="32"/>
    </w:rPr>
  </w:style>
  <w:style w:type="paragraph" w:customStyle="1" w:styleId="46">
    <w:name w:val="章标题"/>
    <w:basedOn w:val="47"/>
    <w:next w:val="49"/>
    <w:link w:val="65"/>
    <w:qFormat/>
    <w:uiPriority w:val="0"/>
    <w:pPr>
      <w:spacing w:before="312" w:beforeLines="100" w:after="312" w:afterLines="100"/>
    </w:pPr>
    <w:rPr>
      <w:rFonts w:ascii="Times New Roman"/>
    </w:rPr>
  </w:style>
  <w:style w:type="paragraph" w:customStyle="1" w:styleId="47">
    <w:name w:val="1章标题"/>
    <w:next w:val="48"/>
    <w:link w:val="64"/>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48">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49">
    <w:name w:val="段"/>
    <w:basedOn w:val="1"/>
    <w:link w:val="54"/>
    <w:qFormat/>
    <w:uiPriority w:val="0"/>
    <w:pPr>
      <w:spacing w:line="240" w:lineRule="auto"/>
      <w:ind w:firstLine="420" w:firstLineChars="200"/>
    </w:pPr>
    <w:rPr>
      <w:rFonts w:ascii="Times New Roman" w:hAnsi="Times New Roman"/>
    </w:rPr>
  </w:style>
  <w:style w:type="character" w:customStyle="1" w:styleId="50">
    <w:name w:val="副标题 字符"/>
    <w:basedOn w:val="28"/>
    <w:link w:val="20"/>
    <w:qFormat/>
    <w:uiPriority w:val="11"/>
    <w:rPr>
      <w:b/>
      <w:bCs/>
      <w:kern w:val="28"/>
      <w:sz w:val="32"/>
      <w:szCs w:val="32"/>
    </w:rPr>
  </w:style>
  <w:style w:type="character" w:customStyle="1" w:styleId="51">
    <w:name w:val="不明显强调1"/>
    <w:basedOn w:val="28"/>
    <w:qFormat/>
    <w:uiPriority w:val="19"/>
    <w:rPr>
      <w:i/>
      <w:iCs/>
      <w:color w:val="404040" w:themeColor="text1" w:themeTint="BF"/>
      <w14:textFill>
        <w14:solidFill>
          <w14:schemeClr w14:val="tx1">
            <w14:lumMod w14:val="75000"/>
            <w14:lumOff w14:val="25000"/>
          </w14:schemeClr>
        </w14:solidFill>
      </w14:textFill>
    </w:rPr>
  </w:style>
  <w:style w:type="paragraph" w:customStyle="1" w:styleId="52">
    <w:name w:val="目次、前言、引言"/>
    <w:basedOn w:val="24"/>
    <w:next w:val="49"/>
    <w:link w:val="53"/>
    <w:qFormat/>
    <w:uiPriority w:val="0"/>
    <w:pPr>
      <w:spacing w:before="851" w:after="680" w:line="240" w:lineRule="auto"/>
    </w:pPr>
    <w:rPr>
      <w:rFonts w:eastAsia="黑体"/>
      <w:b w:val="0"/>
    </w:rPr>
  </w:style>
  <w:style w:type="character" w:customStyle="1" w:styleId="53">
    <w:name w:val="目次、前言、引言 字符"/>
    <w:basedOn w:val="45"/>
    <w:link w:val="52"/>
    <w:qFormat/>
    <w:uiPriority w:val="0"/>
    <w:rPr>
      <w:rFonts w:eastAsia="黑体" w:asciiTheme="majorHAnsi" w:hAnsiTheme="majorHAnsi" w:cstheme="majorBidi"/>
      <w:b w:val="0"/>
      <w:sz w:val="32"/>
      <w:szCs w:val="32"/>
    </w:rPr>
  </w:style>
  <w:style w:type="character" w:customStyle="1" w:styleId="54">
    <w:name w:val="段 字符"/>
    <w:basedOn w:val="28"/>
    <w:link w:val="49"/>
    <w:qFormat/>
    <w:uiPriority w:val="0"/>
    <w:rPr>
      <w:rFonts w:ascii="Times New Roman" w:hAnsi="Times New Roman" w:eastAsia="宋体" w:cs="Calibri"/>
      <w:szCs w:val="21"/>
    </w:rPr>
  </w:style>
  <w:style w:type="paragraph" w:customStyle="1" w:styleId="55">
    <w:name w:val="标准文件_二级条标题"/>
    <w:next w:val="48"/>
    <w:link w:val="74"/>
    <w:qFormat/>
    <w:uiPriority w:val="99"/>
    <w:pPr>
      <w:widowControl w:val="0"/>
      <w:numPr>
        <w:ilvl w:val="3"/>
        <w:numId w:val="1"/>
      </w:numPr>
      <w:jc w:val="both"/>
      <w:outlineLvl w:val="2"/>
    </w:pPr>
    <w:rPr>
      <w:rFonts w:ascii="黑体" w:hAnsi="Times New Roman" w:eastAsia="黑体" w:cs="黑体"/>
      <w:sz w:val="21"/>
      <w:szCs w:val="21"/>
      <w:lang w:val="en-US" w:eastAsia="zh-CN" w:bidi="ar-SA"/>
    </w:rPr>
  </w:style>
  <w:style w:type="paragraph" w:customStyle="1" w:styleId="56">
    <w:name w:val="标准文件_三级条标题"/>
    <w:basedOn w:val="55"/>
    <w:next w:val="48"/>
    <w:link w:val="86"/>
    <w:qFormat/>
    <w:uiPriority w:val="99"/>
    <w:pPr>
      <w:widowControl/>
      <w:numPr>
        <w:ilvl w:val="4"/>
      </w:numPr>
      <w:outlineLvl w:val="3"/>
    </w:pPr>
  </w:style>
  <w:style w:type="paragraph" w:customStyle="1" w:styleId="57">
    <w:name w:val="标准文件_四级条标题"/>
    <w:next w:val="48"/>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58">
    <w:name w:val="标准文件_五级条标题"/>
    <w:next w:val="48"/>
    <w:qFormat/>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paragraph" w:customStyle="1" w:styleId="59">
    <w:name w:val="标准文件_一级条标题"/>
    <w:basedOn w:val="60"/>
    <w:next w:val="48"/>
    <w:link w:val="66"/>
    <w:qFormat/>
    <w:uiPriority w:val="99"/>
    <w:pPr>
      <w:numPr>
        <w:ilvl w:val="2"/>
        <w:numId w:val="1"/>
      </w:numPr>
      <w:spacing w:beforeLines="0" w:afterLines="0"/>
      <w:outlineLvl w:val="1"/>
    </w:pPr>
  </w:style>
  <w:style w:type="paragraph" w:customStyle="1" w:styleId="60">
    <w:name w:val="标准文件_章标题"/>
    <w:next w:val="48"/>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61">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styleId="62">
    <w:name w:val="List Paragraph"/>
    <w:basedOn w:val="1"/>
    <w:link w:val="80"/>
    <w:qFormat/>
    <w:uiPriority w:val="99"/>
    <w:pPr>
      <w:adjustRightInd/>
      <w:spacing w:line="240" w:lineRule="auto"/>
      <w:ind w:firstLine="420" w:firstLineChars="200"/>
    </w:pPr>
  </w:style>
  <w:style w:type="paragraph" w:customStyle="1" w:styleId="63">
    <w:name w:val="一级条标题"/>
    <w:basedOn w:val="59"/>
    <w:next w:val="49"/>
    <w:link w:val="67"/>
    <w:qFormat/>
    <w:uiPriority w:val="0"/>
    <w:pPr>
      <w:spacing w:before="156" w:beforeLines="50" w:after="156" w:afterLines="50"/>
    </w:pPr>
    <w:rPr>
      <w:rFonts w:ascii="Times New Roman"/>
    </w:rPr>
  </w:style>
  <w:style w:type="character" w:customStyle="1" w:styleId="64">
    <w:name w:val="1章标题 字符"/>
    <w:basedOn w:val="28"/>
    <w:link w:val="47"/>
    <w:qFormat/>
    <w:uiPriority w:val="99"/>
    <w:rPr>
      <w:rFonts w:ascii="黑体" w:hAnsi="Times New Roman" w:eastAsia="黑体" w:cs="黑体"/>
      <w:kern w:val="0"/>
      <w:szCs w:val="21"/>
    </w:rPr>
  </w:style>
  <w:style w:type="character" w:customStyle="1" w:styleId="65">
    <w:name w:val="章标题 字符"/>
    <w:basedOn w:val="64"/>
    <w:link w:val="46"/>
    <w:qFormat/>
    <w:uiPriority w:val="0"/>
    <w:rPr>
      <w:rFonts w:ascii="Times New Roman" w:hAnsi="Times New Roman" w:eastAsia="黑体" w:cs="黑体"/>
      <w:kern w:val="0"/>
      <w:szCs w:val="21"/>
    </w:rPr>
  </w:style>
  <w:style w:type="character" w:customStyle="1" w:styleId="66">
    <w:name w:val="标准文件_一级条标题 字符"/>
    <w:basedOn w:val="64"/>
    <w:link w:val="59"/>
    <w:qFormat/>
    <w:uiPriority w:val="99"/>
    <w:rPr>
      <w:rFonts w:ascii="黑体" w:hAnsi="Times New Roman" w:eastAsia="黑体" w:cs="黑体"/>
      <w:kern w:val="0"/>
      <w:szCs w:val="21"/>
    </w:rPr>
  </w:style>
  <w:style w:type="character" w:customStyle="1" w:styleId="67">
    <w:name w:val="一级条标题 字符"/>
    <w:basedOn w:val="66"/>
    <w:link w:val="63"/>
    <w:qFormat/>
    <w:uiPriority w:val="0"/>
    <w:rPr>
      <w:rFonts w:ascii="Times New Roman" w:hAnsi="Times New Roman" w:eastAsia="黑体" w:cs="黑体"/>
      <w:kern w:val="0"/>
      <w:szCs w:val="21"/>
    </w:rPr>
  </w:style>
  <w:style w:type="paragraph" w:customStyle="1" w:styleId="68">
    <w:name w:val="术语"/>
    <w:basedOn w:val="49"/>
    <w:next w:val="49"/>
    <w:link w:val="70"/>
    <w:qFormat/>
    <w:uiPriority w:val="0"/>
    <w:rPr>
      <w:rFonts w:eastAsia="黑体"/>
    </w:rPr>
  </w:style>
  <w:style w:type="character" w:customStyle="1" w:styleId="69">
    <w:name w:val="段 Char"/>
    <w:qFormat/>
    <w:uiPriority w:val="0"/>
    <w:rPr>
      <w:rFonts w:ascii="宋体"/>
      <w:sz w:val="21"/>
      <w:lang w:val="en-US" w:eastAsia="zh-CN" w:bidi="ar-SA"/>
    </w:rPr>
  </w:style>
  <w:style w:type="character" w:customStyle="1" w:styleId="70">
    <w:name w:val="术语 字符"/>
    <w:basedOn w:val="54"/>
    <w:link w:val="68"/>
    <w:qFormat/>
    <w:uiPriority w:val="0"/>
    <w:rPr>
      <w:rFonts w:ascii="Times New Roman" w:hAnsi="Times New Roman" w:eastAsia="黑体" w:cs="Calibri"/>
      <w:szCs w:val="21"/>
    </w:rPr>
  </w:style>
  <w:style w:type="paragraph" w:customStyle="1" w:styleId="71">
    <w:name w:val="注"/>
    <w:basedOn w:val="49"/>
    <w:next w:val="49"/>
    <w:link w:val="73"/>
    <w:qFormat/>
    <w:uiPriority w:val="0"/>
    <w:pPr>
      <w:widowControl/>
      <w:tabs>
        <w:tab w:val="center" w:pos="4201"/>
        <w:tab w:val="right" w:leader="dot" w:pos="9298"/>
      </w:tabs>
      <w:autoSpaceDE w:val="0"/>
      <w:autoSpaceDN w:val="0"/>
      <w:adjustRightInd/>
      <w:ind w:firstLine="360"/>
    </w:pPr>
    <w:rPr>
      <w:rFonts w:eastAsia="黑体" w:cs="Times New Roman"/>
      <w:kern w:val="0"/>
      <w:sz w:val="18"/>
      <w:szCs w:val="18"/>
    </w:rPr>
  </w:style>
  <w:style w:type="paragraph" w:customStyle="1" w:styleId="72">
    <w:name w:val="二级条标题"/>
    <w:basedOn w:val="55"/>
    <w:next w:val="49"/>
    <w:link w:val="75"/>
    <w:qFormat/>
    <w:uiPriority w:val="0"/>
    <w:pPr>
      <w:numPr>
        <w:ilvl w:val="0"/>
        <w:numId w:val="0"/>
      </w:numPr>
      <w:spacing w:before="50" w:beforeLines="50" w:after="50" w:afterLines="50"/>
    </w:pPr>
    <w:rPr>
      <w:rFonts w:ascii="Times New Roman"/>
    </w:rPr>
  </w:style>
  <w:style w:type="character" w:customStyle="1" w:styleId="73">
    <w:name w:val="注 字符"/>
    <w:basedOn w:val="54"/>
    <w:link w:val="71"/>
    <w:qFormat/>
    <w:uiPriority w:val="0"/>
    <w:rPr>
      <w:rFonts w:ascii="Times New Roman" w:hAnsi="Times New Roman" w:eastAsia="黑体" w:cs="Times New Roman"/>
      <w:kern w:val="0"/>
      <w:sz w:val="18"/>
      <w:szCs w:val="18"/>
    </w:rPr>
  </w:style>
  <w:style w:type="character" w:customStyle="1" w:styleId="74">
    <w:name w:val="标准文件_二级条标题 字符"/>
    <w:basedOn w:val="28"/>
    <w:link w:val="55"/>
    <w:qFormat/>
    <w:uiPriority w:val="99"/>
    <w:rPr>
      <w:rFonts w:ascii="黑体" w:hAnsi="Times New Roman" w:eastAsia="黑体" w:cs="黑体"/>
      <w:sz w:val="21"/>
      <w:szCs w:val="21"/>
    </w:rPr>
  </w:style>
  <w:style w:type="character" w:customStyle="1" w:styleId="75">
    <w:name w:val="二级条标题 字符"/>
    <w:basedOn w:val="74"/>
    <w:link w:val="72"/>
    <w:qFormat/>
    <w:uiPriority w:val="0"/>
    <w:rPr>
      <w:rFonts w:ascii="Times New Roman" w:hAnsi="Times New Roman" w:eastAsia="黑体" w:cs="黑体"/>
      <w:kern w:val="0"/>
      <w:sz w:val="21"/>
      <w:szCs w:val="21"/>
    </w:rPr>
  </w:style>
  <w:style w:type="paragraph" w:customStyle="1" w:styleId="76">
    <w:name w:val="正文图题"/>
    <w:basedOn w:val="21"/>
    <w:next w:val="49"/>
    <w:link w:val="79"/>
    <w:qFormat/>
    <w:uiPriority w:val="0"/>
    <w:pPr>
      <w:numPr>
        <w:ilvl w:val="0"/>
        <w:numId w:val="2"/>
      </w:numPr>
      <w:spacing w:before="50" w:beforeLines="50" w:after="50" w:afterLines="50" w:line="240" w:lineRule="auto"/>
      <w:ind w:left="0" w:leftChars="0" w:firstLine="0" w:firstLineChars="0"/>
      <w:jc w:val="center"/>
    </w:pPr>
    <w:rPr>
      <w:rFonts w:ascii="Times New Roman" w:hAnsi="Times New Roman" w:eastAsia="黑体"/>
    </w:rPr>
  </w:style>
  <w:style w:type="paragraph" w:customStyle="1" w:styleId="77">
    <w:name w:val="字母列项"/>
    <w:basedOn w:val="62"/>
    <w:next w:val="49"/>
    <w:link w:val="81"/>
    <w:qFormat/>
    <w:uiPriority w:val="0"/>
    <w:pPr>
      <w:numPr>
        <w:ilvl w:val="0"/>
        <w:numId w:val="3"/>
      </w:numPr>
      <w:ind w:firstLine="0" w:firstLineChars="0"/>
      <w:jc w:val="left"/>
    </w:pPr>
    <w:rPr>
      <w:rFonts w:ascii="Times New Roman" w:hAnsi="Times New Roman" w:cs="宋体"/>
      <w:kern w:val="0"/>
    </w:rPr>
  </w:style>
  <w:style w:type="character" w:customStyle="1" w:styleId="78">
    <w:name w:val="图表目录 字符"/>
    <w:basedOn w:val="28"/>
    <w:link w:val="21"/>
    <w:semiHidden/>
    <w:qFormat/>
    <w:uiPriority w:val="99"/>
    <w:rPr>
      <w:rFonts w:ascii="Calibri" w:hAnsi="Calibri" w:eastAsia="宋体" w:cs="Calibri"/>
      <w:szCs w:val="21"/>
    </w:rPr>
  </w:style>
  <w:style w:type="character" w:customStyle="1" w:styleId="79">
    <w:name w:val="正文图题 字符"/>
    <w:basedOn w:val="78"/>
    <w:link w:val="76"/>
    <w:qFormat/>
    <w:uiPriority w:val="0"/>
    <w:rPr>
      <w:rFonts w:ascii="Times New Roman" w:hAnsi="Times New Roman" w:eastAsia="黑体" w:cs="Calibri"/>
      <w:szCs w:val="21"/>
    </w:rPr>
  </w:style>
  <w:style w:type="character" w:customStyle="1" w:styleId="80">
    <w:name w:val="列表段落 字符"/>
    <w:basedOn w:val="28"/>
    <w:link w:val="62"/>
    <w:qFormat/>
    <w:uiPriority w:val="99"/>
    <w:rPr>
      <w:rFonts w:ascii="Calibri" w:hAnsi="Calibri" w:eastAsia="宋体" w:cs="Calibri"/>
      <w:szCs w:val="21"/>
    </w:rPr>
  </w:style>
  <w:style w:type="character" w:customStyle="1" w:styleId="81">
    <w:name w:val="字母列项 字符"/>
    <w:basedOn w:val="80"/>
    <w:link w:val="77"/>
    <w:qFormat/>
    <w:uiPriority w:val="0"/>
    <w:rPr>
      <w:rFonts w:ascii="Times New Roman" w:hAnsi="Times New Roman" w:eastAsia="宋体" w:cs="宋体"/>
      <w:sz w:val="21"/>
      <w:szCs w:val="21"/>
    </w:rPr>
  </w:style>
  <w:style w:type="paragraph" w:customStyle="1" w:styleId="82">
    <w:name w:val="正文表标题"/>
    <w:basedOn w:val="76"/>
    <w:next w:val="49"/>
    <w:link w:val="84"/>
    <w:qFormat/>
    <w:uiPriority w:val="0"/>
    <w:pPr>
      <w:numPr>
        <w:numId w:val="4"/>
      </w:numPr>
    </w:pPr>
  </w:style>
  <w:style w:type="paragraph" w:customStyle="1" w:styleId="83">
    <w:name w:val="三级条标题"/>
    <w:basedOn w:val="56"/>
    <w:next w:val="49"/>
    <w:link w:val="87"/>
    <w:qFormat/>
    <w:uiPriority w:val="0"/>
    <w:pPr>
      <w:spacing w:before="156" w:beforeLines="50" w:after="156" w:afterLines="50"/>
    </w:pPr>
    <w:rPr>
      <w:rFonts w:ascii="Times New Roman"/>
    </w:rPr>
  </w:style>
  <w:style w:type="character" w:customStyle="1" w:styleId="84">
    <w:name w:val="正文表标题 字符"/>
    <w:basedOn w:val="79"/>
    <w:link w:val="82"/>
    <w:qFormat/>
    <w:uiPriority w:val="0"/>
    <w:rPr>
      <w:rFonts w:ascii="Times New Roman" w:hAnsi="Times New Roman" w:eastAsia="黑体" w:cs="Calibri"/>
      <w:szCs w:val="21"/>
    </w:rPr>
  </w:style>
  <w:style w:type="paragraph" w:customStyle="1" w:styleId="85">
    <w:name w:val="列项（——）"/>
    <w:basedOn w:val="1"/>
    <w:link w:val="89"/>
    <w:qFormat/>
    <w:uiPriority w:val="0"/>
    <w:pPr>
      <w:widowControl/>
      <w:tabs>
        <w:tab w:val="center" w:pos="4201"/>
        <w:tab w:val="right" w:leader="dot" w:pos="9298"/>
      </w:tabs>
      <w:autoSpaceDE w:val="0"/>
      <w:autoSpaceDN w:val="0"/>
      <w:adjustRightInd/>
      <w:spacing w:line="240" w:lineRule="auto"/>
      <w:ind w:left="400" w:leftChars="200" w:hanging="200" w:hangingChars="200"/>
    </w:pPr>
    <w:rPr>
      <w:rFonts w:ascii="Times New Roman" w:hAnsi="Times New Roman" w:cs="黑体"/>
      <w:kern w:val="0"/>
    </w:rPr>
  </w:style>
  <w:style w:type="character" w:customStyle="1" w:styleId="86">
    <w:name w:val="标准文件_三级条标题 字符"/>
    <w:basedOn w:val="74"/>
    <w:link w:val="56"/>
    <w:qFormat/>
    <w:uiPriority w:val="99"/>
    <w:rPr>
      <w:rFonts w:ascii="黑体" w:hAnsi="Times New Roman" w:eastAsia="黑体" w:cs="黑体"/>
      <w:kern w:val="0"/>
      <w:sz w:val="21"/>
      <w:szCs w:val="21"/>
    </w:rPr>
  </w:style>
  <w:style w:type="character" w:customStyle="1" w:styleId="87">
    <w:name w:val="三级条标题 字符"/>
    <w:basedOn w:val="86"/>
    <w:link w:val="83"/>
    <w:qFormat/>
    <w:uiPriority w:val="0"/>
    <w:rPr>
      <w:rFonts w:ascii="Times New Roman" w:hAnsi="Times New Roman" w:eastAsia="黑体" w:cs="黑体"/>
      <w:kern w:val="0"/>
      <w:sz w:val="21"/>
      <w:szCs w:val="21"/>
    </w:rPr>
  </w:style>
  <w:style w:type="table" w:customStyle="1" w:styleId="88">
    <w:name w:val="网格型1"/>
    <w:basedOn w:val="26"/>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列项（——） 字符"/>
    <w:basedOn w:val="28"/>
    <w:link w:val="85"/>
    <w:qFormat/>
    <w:uiPriority w:val="0"/>
    <w:rPr>
      <w:rFonts w:ascii="Times New Roman" w:hAnsi="Times New Roman" w:eastAsia="宋体" w:cs="黑体"/>
      <w:kern w:val="0"/>
      <w:szCs w:val="21"/>
      <w:lang w:val="en-US" w:eastAsia="zh-CN"/>
    </w:rPr>
  </w:style>
  <w:style w:type="paragraph" w:customStyle="1" w:styleId="90">
    <w:name w:val="正文公式"/>
    <w:basedOn w:val="1"/>
    <w:link w:val="92"/>
    <w:qFormat/>
    <w:uiPriority w:val="0"/>
    <w:pPr>
      <w:tabs>
        <w:tab w:val="center" w:pos="2520"/>
        <w:tab w:val="right" w:pos="5040"/>
      </w:tabs>
      <w:adjustRightInd/>
      <w:spacing w:line="240" w:lineRule="auto"/>
      <w:jc w:val="center"/>
    </w:pPr>
    <w:rPr>
      <w:rFonts w:ascii="宋体" w:hAnsi="宋体" w:cs="宋体"/>
      <w:szCs w:val="18"/>
    </w:rPr>
  </w:style>
  <w:style w:type="paragraph" w:customStyle="1" w:styleId="91">
    <w:name w:val="正文公式1"/>
    <w:basedOn w:val="49"/>
    <w:next w:val="49"/>
    <w:qFormat/>
    <w:uiPriority w:val="0"/>
    <w:pPr>
      <w:tabs>
        <w:tab w:val="center" w:pos="4200"/>
        <w:tab w:val="right" w:leader="dot" w:pos="9030"/>
      </w:tabs>
      <w:ind w:firstLine="0" w:firstLineChars="0"/>
      <w:jc w:val="left"/>
    </w:pPr>
  </w:style>
  <w:style w:type="character" w:customStyle="1" w:styleId="92">
    <w:name w:val="正文公式 字符"/>
    <w:basedOn w:val="28"/>
    <w:link w:val="90"/>
    <w:qFormat/>
    <w:uiPriority w:val="0"/>
    <w:rPr>
      <w:rFonts w:ascii="宋体" w:hAnsi="宋体" w:eastAsia="宋体" w:cs="宋体"/>
      <w:szCs w:val="18"/>
    </w:rPr>
  </w:style>
  <w:style w:type="character" w:customStyle="1" w:styleId="93">
    <w:name w:val="批注文字 字符1"/>
    <w:link w:val="12"/>
    <w:qFormat/>
    <w:uiPriority w:val="0"/>
    <w:rPr>
      <w:rFonts w:ascii="Times New Roman" w:hAnsi="Times New Roman" w:eastAsia="宋体"/>
      <w:szCs w:val="24"/>
    </w:rPr>
  </w:style>
  <w:style w:type="character" w:customStyle="1" w:styleId="94">
    <w:name w:val="批注文字 字符"/>
    <w:basedOn w:val="28"/>
    <w:semiHidden/>
    <w:qFormat/>
    <w:uiPriority w:val="99"/>
    <w:rPr>
      <w:rFonts w:ascii="Calibri" w:hAnsi="Calibri" w:eastAsia="宋体" w:cs="Calibri"/>
      <w:szCs w:val="21"/>
    </w:rPr>
  </w:style>
  <w:style w:type="paragraph" w:customStyle="1" w:styleId="95">
    <w:name w:val="附录标识"/>
    <w:basedOn w:val="1"/>
    <w:next w:val="49"/>
    <w:link w:val="98"/>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cs="Times New Roman"/>
      <w:kern w:val="0"/>
      <w:szCs w:val="20"/>
    </w:rPr>
  </w:style>
  <w:style w:type="paragraph" w:customStyle="1" w:styleId="96">
    <w:name w:val="附录标题"/>
    <w:basedOn w:val="95"/>
    <w:next w:val="49"/>
    <w:link w:val="99"/>
    <w:qFormat/>
    <w:uiPriority w:val="0"/>
    <w:pPr>
      <w:numPr>
        <w:ilvl w:val="0"/>
        <w:numId w:val="5"/>
      </w:numPr>
      <w:spacing w:after="360" w:line="360" w:lineRule="exact"/>
    </w:pPr>
  </w:style>
  <w:style w:type="paragraph" w:customStyle="1" w:styleId="97">
    <w:name w:val="附录章标题"/>
    <w:basedOn w:val="96"/>
    <w:next w:val="49"/>
    <w:link w:val="101"/>
    <w:qFormat/>
    <w:uiPriority w:val="0"/>
    <w:pPr>
      <w:numPr>
        <w:ilvl w:val="1"/>
      </w:numPr>
      <w:tabs>
        <w:tab w:val="clear" w:pos="360"/>
        <w:tab w:val="clear" w:pos="6405"/>
      </w:tabs>
      <w:spacing w:before="100" w:beforeLines="100" w:after="100" w:afterLines="100" w:line="240" w:lineRule="auto"/>
      <w:jc w:val="left"/>
    </w:pPr>
  </w:style>
  <w:style w:type="character" w:customStyle="1" w:styleId="98">
    <w:name w:val="附录标识 字符"/>
    <w:basedOn w:val="28"/>
    <w:link w:val="95"/>
    <w:qFormat/>
    <w:uiPriority w:val="0"/>
    <w:rPr>
      <w:rFonts w:ascii="黑体" w:hAnsi="Times New Roman" w:eastAsia="黑体" w:cs="Times New Roman"/>
      <w:kern w:val="0"/>
      <w:szCs w:val="20"/>
      <w:shd w:val="clear" w:color="FFFFFF" w:fill="FFFFFF"/>
    </w:rPr>
  </w:style>
  <w:style w:type="character" w:customStyle="1" w:styleId="99">
    <w:name w:val="附录标题 字符"/>
    <w:basedOn w:val="98"/>
    <w:link w:val="96"/>
    <w:qFormat/>
    <w:uiPriority w:val="0"/>
    <w:rPr>
      <w:rFonts w:ascii="黑体" w:hAnsi="Times New Roman" w:eastAsia="黑体" w:cs="Times New Roman"/>
      <w:kern w:val="0"/>
      <w:szCs w:val="20"/>
      <w:shd w:val="clear" w:color="FFFFFF" w:fill="FFFFFF"/>
    </w:rPr>
  </w:style>
  <w:style w:type="paragraph" w:customStyle="1" w:styleId="100">
    <w:name w:val="标准文件_正文图标题"/>
    <w:next w:val="1"/>
    <w:qFormat/>
    <w:uiPriority w:val="99"/>
    <w:pPr>
      <w:numPr>
        <w:ilvl w:val="0"/>
        <w:numId w:val="6"/>
      </w:numPr>
      <w:jc w:val="center"/>
    </w:pPr>
    <w:rPr>
      <w:rFonts w:ascii="黑体" w:hAnsi="Times New Roman" w:eastAsia="黑体" w:cs="黑体"/>
      <w:sz w:val="21"/>
      <w:szCs w:val="21"/>
      <w:lang w:val="en-US" w:eastAsia="zh-CN" w:bidi="ar-SA"/>
    </w:rPr>
  </w:style>
  <w:style w:type="character" w:customStyle="1" w:styleId="101">
    <w:name w:val="附录章标题 字符"/>
    <w:basedOn w:val="99"/>
    <w:link w:val="97"/>
    <w:qFormat/>
    <w:uiPriority w:val="0"/>
    <w:rPr>
      <w:rFonts w:ascii="黑体" w:hAnsi="Times New Roman" w:eastAsia="黑体" w:cs="Times New Roman"/>
      <w:kern w:val="0"/>
      <w:szCs w:val="20"/>
      <w:shd w:val="clear" w:color="FFFFFF" w:fill="FFFFFF"/>
    </w:rPr>
  </w:style>
  <w:style w:type="paragraph" w:customStyle="1" w:styleId="102">
    <w:name w:val="正文图标题"/>
    <w:next w:val="49"/>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103">
    <w:name w:val="标准称谓"/>
    <w:next w:val="1"/>
    <w:qFormat/>
    <w:uiPriority w:val="99"/>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104">
    <w:name w:val="标准文件_页脚偶数页"/>
    <w:qFormat/>
    <w:uiPriority w:val="99"/>
    <w:rPr>
      <w:rFonts w:ascii="宋体" w:hAnsi="Times New Roman" w:eastAsia="宋体" w:cs="宋体"/>
      <w:sz w:val="18"/>
      <w:szCs w:val="18"/>
      <w:lang w:val="en-US" w:eastAsia="zh-CN" w:bidi="ar-SA"/>
    </w:rPr>
  </w:style>
  <w:style w:type="paragraph" w:customStyle="1" w:styleId="105">
    <w:name w:val="附录一级条标题"/>
    <w:basedOn w:val="97"/>
    <w:next w:val="49"/>
    <w:link w:val="106"/>
    <w:qFormat/>
    <w:uiPriority w:val="0"/>
    <w:pPr>
      <w:numPr>
        <w:ilvl w:val="2"/>
      </w:numPr>
      <w:spacing w:before="156" w:beforeLines="50" w:after="156" w:afterLines="50"/>
    </w:pPr>
  </w:style>
  <w:style w:type="character" w:customStyle="1" w:styleId="106">
    <w:name w:val="附录一级条标题 字符"/>
    <w:basedOn w:val="101"/>
    <w:link w:val="105"/>
    <w:qFormat/>
    <w:uiPriority w:val="0"/>
    <w:rPr>
      <w:rFonts w:ascii="黑体" w:hAnsi="Times New Roman" w:eastAsia="黑体" w:cs="Times New Roman"/>
      <w:kern w:val="0"/>
      <w:szCs w:val="20"/>
      <w:shd w:val="clear" w:color="FFFFFF" w:fill="FFFFFF"/>
    </w:rPr>
  </w:style>
  <w:style w:type="paragraph" w:customStyle="1" w:styleId="107">
    <w:name w:val="附录图标题"/>
    <w:basedOn w:val="96"/>
    <w:next w:val="49"/>
    <w:link w:val="109"/>
    <w:qFormat/>
    <w:uiPriority w:val="0"/>
    <w:pPr>
      <w:numPr>
        <w:ilvl w:val="0"/>
        <w:numId w:val="7"/>
      </w:numPr>
      <w:spacing w:before="50" w:beforeLines="50" w:after="50" w:afterLines="50" w:line="240" w:lineRule="auto"/>
    </w:pPr>
    <w:rPr>
      <w:rFonts w:ascii="Times New Roman"/>
    </w:rPr>
  </w:style>
  <w:style w:type="paragraph" w:customStyle="1" w:styleId="108">
    <w:name w:val="附录表标题"/>
    <w:basedOn w:val="1"/>
    <w:next w:val="49"/>
    <w:qFormat/>
    <w:uiPriority w:val="0"/>
    <w:pPr>
      <w:tabs>
        <w:tab w:val="left" w:pos="180"/>
      </w:tabs>
      <w:adjustRightInd/>
      <w:spacing w:beforeLines="50" w:afterLines="50" w:line="240" w:lineRule="auto"/>
      <w:jc w:val="center"/>
    </w:pPr>
    <w:rPr>
      <w:rFonts w:ascii="黑体" w:hAnsi="Times New Roman" w:eastAsia="黑体" w:cs="Times New Roman"/>
    </w:rPr>
  </w:style>
  <w:style w:type="character" w:customStyle="1" w:styleId="109">
    <w:name w:val="附录图标题 字符"/>
    <w:basedOn w:val="99"/>
    <w:link w:val="107"/>
    <w:qFormat/>
    <w:uiPriority w:val="0"/>
    <w:rPr>
      <w:rFonts w:ascii="Times New Roman" w:hAnsi="Times New Roman" w:eastAsia="黑体" w:cs="Times New Roman"/>
      <w:kern w:val="0"/>
      <w:szCs w:val="20"/>
      <w:shd w:val="clear" w:color="FFFFFF" w:fill="FFFFFF"/>
    </w:rPr>
  </w:style>
  <w:style w:type="paragraph" w:customStyle="1" w:styleId="110">
    <w:name w:val="样式1"/>
    <w:basedOn w:val="95"/>
    <w:next w:val="49"/>
    <w:link w:val="111"/>
    <w:qFormat/>
    <w:uiPriority w:val="0"/>
    <w:pPr>
      <w:spacing w:before="312" w:after="312"/>
    </w:pPr>
  </w:style>
  <w:style w:type="character" w:customStyle="1" w:styleId="111">
    <w:name w:val="样式1 字符"/>
    <w:basedOn w:val="98"/>
    <w:link w:val="110"/>
    <w:qFormat/>
    <w:uiPriority w:val="0"/>
    <w:rPr>
      <w:rFonts w:ascii="黑体" w:hAnsi="Times New Roman" w:eastAsia="黑体" w:cs="Times New Roman"/>
      <w:kern w:val="0"/>
      <w:szCs w:val="20"/>
      <w:shd w:val="clear" w:color="FFFFFF" w:fill="FFFFFF"/>
    </w:rPr>
  </w:style>
  <w:style w:type="paragraph" w:customStyle="1" w:styleId="112">
    <w:name w:val="附录图标题1"/>
    <w:basedOn w:val="20"/>
    <w:next w:val="49"/>
    <w:link w:val="114"/>
    <w:qFormat/>
    <w:uiPriority w:val="0"/>
    <w:pPr>
      <w:spacing w:before="156" w:beforeLines="50" w:after="156" w:afterLines="50" w:line="240" w:lineRule="auto"/>
    </w:pPr>
    <w:rPr>
      <w:rFonts w:ascii="Times New Roman" w:hAnsi="Times New Roman" w:eastAsia="黑体"/>
      <w:b w:val="0"/>
      <w:sz w:val="21"/>
    </w:rPr>
  </w:style>
  <w:style w:type="paragraph" w:customStyle="1" w:styleId="113">
    <w:name w:val="附录表标题1"/>
    <w:basedOn w:val="112"/>
    <w:next w:val="49"/>
    <w:link w:val="115"/>
    <w:qFormat/>
    <w:uiPriority w:val="0"/>
    <w:pPr>
      <w:spacing w:before="50" w:after="50"/>
    </w:pPr>
  </w:style>
  <w:style w:type="character" w:customStyle="1" w:styleId="114">
    <w:name w:val="附录图标题1 字符"/>
    <w:basedOn w:val="50"/>
    <w:link w:val="112"/>
    <w:qFormat/>
    <w:uiPriority w:val="0"/>
    <w:rPr>
      <w:rFonts w:ascii="Times New Roman" w:hAnsi="Times New Roman" w:eastAsia="黑体"/>
      <w:b w:val="0"/>
      <w:kern w:val="28"/>
      <w:sz w:val="32"/>
      <w:szCs w:val="32"/>
    </w:rPr>
  </w:style>
  <w:style w:type="character" w:customStyle="1" w:styleId="115">
    <w:name w:val="附录表标题1 字符"/>
    <w:basedOn w:val="114"/>
    <w:link w:val="113"/>
    <w:qFormat/>
    <w:uiPriority w:val="0"/>
    <w:rPr>
      <w:rFonts w:ascii="Times New Roman" w:hAnsi="Times New Roman" w:eastAsia="黑体"/>
      <w:kern w:val="28"/>
      <w:sz w:val="32"/>
      <w:szCs w:val="32"/>
    </w:rPr>
  </w:style>
  <w:style w:type="paragraph" w:customStyle="1" w:styleId="116">
    <w:name w:val="参考文献、索引"/>
    <w:basedOn w:val="52"/>
    <w:next w:val="49"/>
    <w:link w:val="117"/>
    <w:qFormat/>
    <w:uiPriority w:val="0"/>
    <w:pPr>
      <w:spacing w:after="284"/>
    </w:pPr>
    <w:rPr>
      <w:rFonts w:ascii="黑体"/>
      <w:sz w:val="21"/>
    </w:rPr>
  </w:style>
  <w:style w:type="character" w:customStyle="1" w:styleId="117">
    <w:name w:val="参考文献、索引 字符"/>
    <w:basedOn w:val="53"/>
    <w:link w:val="116"/>
    <w:qFormat/>
    <w:uiPriority w:val="0"/>
    <w:rPr>
      <w:rFonts w:ascii="黑体" w:eastAsia="黑体" w:hAnsiTheme="majorHAnsi" w:cstheme="majorBidi"/>
      <w:sz w:val="32"/>
      <w:szCs w:val="32"/>
    </w:rPr>
  </w:style>
  <w:style w:type="character" w:customStyle="1" w:styleId="118">
    <w:name w:val="未处理的提及1"/>
    <w:basedOn w:val="28"/>
    <w:semiHidden/>
    <w:unhideWhenUsed/>
    <w:qFormat/>
    <w:uiPriority w:val="99"/>
    <w:rPr>
      <w:color w:val="605E5C"/>
      <w:shd w:val="clear" w:color="auto" w:fill="E1DFDD"/>
    </w:rPr>
  </w:style>
  <w:style w:type="character" w:customStyle="1" w:styleId="119">
    <w:name w:val="批注主题 字符"/>
    <w:basedOn w:val="93"/>
    <w:link w:val="25"/>
    <w:semiHidden/>
    <w:qFormat/>
    <w:uiPriority w:val="99"/>
    <w:rPr>
      <w:rFonts w:ascii="Calibri" w:hAnsi="Calibri" w:eastAsia="宋体" w:cs="Calibri"/>
      <w:b/>
      <w:bCs/>
      <w:szCs w:val="21"/>
    </w:rPr>
  </w:style>
  <w:style w:type="paragraph" w:customStyle="1" w:styleId="120">
    <w:name w:val="修订1"/>
    <w:hidden/>
    <w:semiHidden/>
    <w:qFormat/>
    <w:uiPriority w:val="99"/>
    <w:rPr>
      <w:rFonts w:ascii="Calibri" w:hAnsi="Calibri" w:eastAsia="宋体" w:cs="Calibri"/>
      <w:kern w:val="2"/>
      <w:sz w:val="21"/>
      <w:szCs w:val="21"/>
      <w:lang w:val="en-US" w:eastAsia="zh-CN" w:bidi="ar-SA"/>
    </w:rPr>
  </w:style>
  <w:style w:type="character" w:customStyle="1" w:styleId="121">
    <w:name w:val="日期 字符"/>
    <w:basedOn w:val="28"/>
    <w:link w:val="15"/>
    <w:semiHidden/>
    <w:qFormat/>
    <w:uiPriority w:val="99"/>
    <w:rPr>
      <w:rFonts w:ascii="Calibri" w:hAnsi="Calibri" w:eastAsia="宋体" w:cs="Calibri"/>
      <w:szCs w:val="21"/>
    </w:rPr>
  </w:style>
  <w:style w:type="character" w:styleId="122">
    <w:name w:val="Placeholder Text"/>
    <w:basedOn w:val="28"/>
    <w:semiHidden/>
    <w:qFormat/>
    <w:uiPriority w:val="99"/>
    <w:rPr>
      <w:color w:val="808080"/>
    </w:rPr>
  </w:style>
  <w:style w:type="character" w:customStyle="1" w:styleId="123">
    <w:name w:val="一级条标题 Char"/>
    <w:basedOn w:val="28"/>
    <w:qFormat/>
    <w:uiPriority w:val="0"/>
    <w:rPr>
      <w:rFonts w:ascii="黑体" w:hAnsi="Times New Roman" w:eastAsia="黑体" w:cs="Times New Roman"/>
      <w:kern w:val="0"/>
      <w:szCs w:val="21"/>
    </w:rPr>
  </w:style>
  <w:style w:type="paragraph" w:customStyle="1" w:styleId="124">
    <w:name w:val="修订2"/>
    <w:hidden/>
    <w:semiHidden/>
    <w:qFormat/>
    <w:uiPriority w:val="99"/>
    <w:rPr>
      <w:rFonts w:ascii="Calibri" w:hAnsi="Calibri" w:eastAsia="宋体" w:cs="Calibri"/>
      <w:kern w:val="2"/>
      <w:sz w:val="21"/>
      <w:szCs w:val="21"/>
      <w:lang w:val="en-US" w:eastAsia="zh-CN" w:bidi="ar-SA"/>
    </w:rPr>
  </w:style>
  <w:style w:type="paragraph" w:customStyle="1" w:styleId="125">
    <w:name w:val="修订3"/>
    <w:hidden/>
    <w:semiHidden/>
    <w:qFormat/>
    <w:uiPriority w:val="99"/>
    <w:rPr>
      <w:rFonts w:ascii="Calibri" w:hAnsi="Calibri" w:eastAsia="宋体" w:cs="Calibri"/>
      <w:kern w:val="2"/>
      <w:sz w:val="21"/>
      <w:szCs w:val="21"/>
      <w:lang w:val="en-US" w:eastAsia="zh-CN" w:bidi="ar-SA"/>
    </w:rPr>
  </w:style>
  <w:style w:type="paragraph" w:customStyle="1" w:styleId="126">
    <w:name w:val="修订4"/>
    <w:hidden/>
    <w:unhideWhenUsed/>
    <w:qFormat/>
    <w:uiPriority w:val="99"/>
    <w:rPr>
      <w:rFonts w:ascii="Calibri" w:hAnsi="Calibri" w:eastAsia="宋体" w:cs="Calibri"/>
      <w:kern w:val="2"/>
      <w:sz w:val="21"/>
      <w:szCs w:val="21"/>
      <w:lang w:val="en-US" w:eastAsia="zh-CN" w:bidi="ar-SA"/>
    </w:rPr>
  </w:style>
  <w:style w:type="paragraph" w:customStyle="1" w:styleId="127">
    <w:name w:val="修订5"/>
    <w:hidden/>
    <w:unhideWhenUsed/>
    <w:qFormat/>
    <w:uiPriority w:val="99"/>
    <w:rPr>
      <w:rFonts w:ascii="Calibri" w:hAnsi="Calibri" w:eastAsia="宋体" w:cs="Calibri"/>
      <w:kern w:val="2"/>
      <w:sz w:val="21"/>
      <w:szCs w:val="21"/>
      <w:lang w:val="en-US" w:eastAsia="zh-CN" w:bidi="ar-SA"/>
    </w:rPr>
  </w:style>
  <w:style w:type="paragraph" w:customStyle="1" w:styleId="128">
    <w:name w:val="修订6"/>
    <w:hidden/>
    <w:unhideWhenUsed/>
    <w:qFormat/>
    <w:uiPriority w:val="99"/>
    <w:rPr>
      <w:rFonts w:ascii="Calibri" w:hAnsi="Calibri" w:eastAsia="宋体" w:cs="Calibri"/>
      <w:kern w:val="2"/>
      <w:sz w:val="21"/>
      <w:szCs w:val="21"/>
      <w:lang w:val="en-US" w:eastAsia="zh-CN" w:bidi="ar-SA"/>
    </w:rPr>
  </w:style>
  <w:style w:type="paragraph" w:customStyle="1" w:styleId="129">
    <w:name w:val="修订7"/>
    <w:hidden/>
    <w:unhideWhenUsed/>
    <w:qFormat/>
    <w:uiPriority w:val="99"/>
    <w:rPr>
      <w:rFonts w:ascii="Calibri" w:hAnsi="Calibri" w:eastAsia="宋体" w:cs="Calibri"/>
      <w:kern w:val="2"/>
      <w:sz w:val="21"/>
      <w:szCs w:val="21"/>
      <w:lang w:val="en-US" w:eastAsia="zh-CN" w:bidi="ar-SA"/>
    </w:rPr>
  </w:style>
  <w:style w:type="paragraph" w:customStyle="1" w:styleId="130">
    <w:name w:val="修订8"/>
    <w:hidden/>
    <w:unhideWhenUsed/>
    <w:qFormat/>
    <w:uiPriority w:val="99"/>
    <w:rPr>
      <w:rFonts w:ascii="Calibri" w:hAnsi="Calibri" w:eastAsia="宋体" w:cs="Calibri"/>
      <w:kern w:val="2"/>
      <w:sz w:val="21"/>
      <w:szCs w:val="21"/>
      <w:lang w:val="en-US" w:eastAsia="zh-CN" w:bidi="ar-SA"/>
    </w:rPr>
  </w:style>
  <w:style w:type="paragraph" w:customStyle="1" w:styleId="131">
    <w:name w:val="修订9"/>
    <w:hidden/>
    <w:unhideWhenUsed/>
    <w:qFormat/>
    <w:uiPriority w:val="99"/>
    <w:rPr>
      <w:rFonts w:ascii="Calibri" w:hAnsi="Calibri" w:eastAsia="宋体" w:cs="Calibri"/>
      <w:kern w:val="2"/>
      <w:sz w:val="21"/>
      <w:szCs w:val="21"/>
      <w:lang w:val="en-US" w:eastAsia="zh-CN" w:bidi="ar-SA"/>
    </w:rPr>
  </w:style>
  <w:style w:type="paragraph" w:customStyle="1" w:styleId="132">
    <w:name w:val="封面标准英文名称"/>
    <w:basedOn w:val="133"/>
    <w:qFormat/>
    <w:uiPriority w:val="0"/>
    <w:pPr>
      <w:framePr w:wrap="around"/>
      <w:spacing w:line="360" w:lineRule="exact"/>
    </w:pPr>
    <w:rPr>
      <w:rFonts w:ascii="Times New Roman" w:eastAsia="宋体"/>
      <w:sz w:val="28"/>
    </w:rPr>
  </w:style>
  <w:style w:type="paragraph" w:customStyle="1" w:styleId="13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4">
    <w:name w:val="修订10"/>
    <w:hidden/>
    <w:unhideWhenUsed/>
    <w:qFormat/>
    <w:uiPriority w:val="99"/>
    <w:rPr>
      <w:rFonts w:ascii="Calibri" w:hAnsi="Calibri" w:eastAsia="宋体" w:cs="Calibri"/>
      <w:kern w:val="2"/>
      <w:sz w:val="21"/>
      <w:szCs w:val="21"/>
      <w:lang w:val="en-US" w:eastAsia="zh-CN" w:bidi="ar-SA"/>
    </w:rPr>
  </w:style>
  <w:style w:type="paragraph" w:customStyle="1" w:styleId="135">
    <w:name w:val="修订11"/>
    <w:hidden/>
    <w:unhideWhenUsed/>
    <w:qFormat/>
    <w:uiPriority w:val="99"/>
    <w:rPr>
      <w:rFonts w:ascii="Calibri" w:hAnsi="Calibri" w:eastAsia="宋体" w:cs="Calibri"/>
      <w:kern w:val="2"/>
      <w:sz w:val="21"/>
      <w:szCs w:val="21"/>
      <w:lang w:val="en-US" w:eastAsia="zh-CN" w:bidi="ar-SA"/>
    </w:rPr>
  </w:style>
  <w:style w:type="paragraph" w:customStyle="1" w:styleId="136">
    <w:name w:val="封面标准文稿类别"/>
    <w:basedOn w:val="137"/>
    <w:qFormat/>
    <w:uiPriority w:val="0"/>
    <w:pPr>
      <w:framePr w:wrap="around"/>
      <w:spacing w:after="160" w:line="240" w:lineRule="auto"/>
    </w:pPr>
    <w:rPr>
      <w:sz w:val="24"/>
    </w:rPr>
  </w:style>
  <w:style w:type="paragraph" w:customStyle="1" w:styleId="137">
    <w:name w:val="封面一致性程度标识"/>
    <w:basedOn w:val="132"/>
    <w:qFormat/>
    <w:uiPriority w:val="0"/>
    <w:pPr>
      <w:framePr w:wrap="around"/>
      <w:spacing w:before="440"/>
    </w:pPr>
    <w:rPr>
      <w:rFonts w:ascii="宋体"/>
    </w:rPr>
  </w:style>
  <w:style w:type="paragraph" w:customStyle="1" w:styleId="138">
    <w:name w:val="修订12"/>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D9E9FC-92DA-4E73-8E41-8FD3D34C5E6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16</Pages>
  <Words>5483</Words>
  <Characters>6051</Characters>
  <Lines>281</Lines>
  <Paragraphs>386</Paragraphs>
  <TotalTime>4</TotalTime>
  <ScaleCrop>false</ScaleCrop>
  <LinksUpToDate>false</LinksUpToDate>
  <CharactersWithSpaces>6353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2021-06-24T08:08:00Z</dcterms:created>
  <dc:creator>段彦芳</dc:creator>
  <cp:lastModifiedBy>霍达</cp:lastModifiedBy>
  <cp:lastPrinted>2020-05-13T02:27:00Z</cp:lastPrinted>
  <dcterms:modified xsi:type="dcterms:W3CDTF">2025-08-18T08:27:50Z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4FCB328CF8724FA39C212447356B2AC7_13</vt:lpwstr>
  </property>
  <property fmtid="{D5CDD505-2E9C-101B-9397-08002B2CF9AE}" pid="4" name="KSOTemplateDocerSaveRecord">
    <vt:lpwstr>eyJoZGlkIjoiMzEwNTM5NzYwMDRjMzkwZTVkZjY2ODkwMGIxNGU0OTUiLCJ1c2VySWQiOiI0MzUxOTUzNDUifQ==</vt:lpwstr>
  </property>
  <property fmtid="{D5CDD505-2E9C-101B-9397-08002B2CF9AE}" pid="5" name="GrammarlyDocumentId">
    <vt:lpwstr>dbb42b44fd8b2a534fd224164b31a81320c96a9418891c674c487868e514d823</vt:lpwstr>
  </property>
</Properties>
</file>