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4D1E35">
      <w:pPr>
        <w:spacing w:after="0" w:line="360" w:lineRule="auto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Courier New" w:hAnsi="Courier New" w:eastAsia="仿宋" w:cs="Courier New"/>
          <w:sz w:val="28"/>
          <w:szCs w:val="28"/>
          <w:lang w:val="en-US" w:eastAsia="zh-CN"/>
        </w:rPr>
        <w:t xml:space="preserve">附件2           </w:t>
      </w:r>
      <w:r>
        <w:rPr>
          <w:rFonts w:hint="eastAsia" w:ascii="黑体" w:hAnsi="黑体" w:eastAsia="黑体"/>
          <w:sz w:val="32"/>
          <w:szCs w:val="32"/>
        </w:rPr>
        <w:t>工业母机先进技术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成果</w:t>
      </w:r>
      <w:r>
        <w:rPr>
          <w:rFonts w:hint="eastAsia" w:ascii="黑体" w:hAnsi="黑体" w:eastAsia="黑体"/>
          <w:sz w:val="32"/>
          <w:szCs w:val="32"/>
        </w:rPr>
        <w:t>案例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撰写</w:t>
      </w:r>
      <w:r>
        <w:rPr>
          <w:rFonts w:ascii="黑体" w:hAnsi="黑体" w:eastAsia="黑体"/>
          <w:sz w:val="32"/>
          <w:szCs w:val="32"/>
        </w:rPr>
        <w:t>须知</w:t>
      </w:r>
    </w:p>
    <w:p w14:paraId="4FBEFABC">
      <w:pPr>
        <w:ind w:firstLine="640" w:firstLineChars="200"/>
        <w:jc w:val="left"/>
        <w:rPr>
          <w:rFonts w:hint="eastAsia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为确保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案例撰写</w:t>
      </w:r>
      <w:r>
        <w:rPr>
          <w:rFonts w:hint="eastAsia" w:ascii="仿宋" w:hAnsi="仿宋" w:eastAsia="仿宋"/>
          <w:sz w:val="28"/>
          <w:szCs w:val="28"/>
        </w:rPr>
        <w:t>符合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积集成册</w:t>
      </w:r>
      <w:r>
        <w:rPr>
          <w:rFonts w:hint="eastAsia" w:ascii="仿宋" w:hAnsi="仿宋" w:eastAsia="仿宋"/>
          <w:sz w:val="28"/>
          <w:szCs w:val="28"/>
        </w:rPr>
        <w:t>要求，提高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编审</w:t>
      </w:r>
      <w:r>
        <w:rPr>
          <w:rFonts w:hint="eastAsia" w:ascii="仿宋" w:hAnsi="仿宋" w:eastAsia="仿宋"/>
          <w:sz w:val="28"/>
          <w:szCs w:val="28"/>
        </w:rPr>
        <w:t>效率，请认真阅读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撰写</w:t>
      </w:r>
      <w:r>
        <w:rPr>
          <w:rFonts w:hint="eastAsia" w:ascii="仿宋" w:hAnsi="仿宋" w:eastAsia="仿宋"/>
          <w:sz w:val="28"/>
          <w:szCs w:val="28"/>
        </w:rPr>
        <w:t>须知，参照编排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案例</w:t>
      </w:r>
      <w:r>
        <w:rPr>
          <w:rFonts w:hint="eastAsia" w:ascii="仿宋" w:hAnsi="仿宋" w:eastAsia="仿宋"/>
          <w:sz w:val="28"/>
          <w:szCs w:val="28"/>
        </w:rPr>
        <w:t>内容。</w:t>
      </w:r>
    </w:p>
    <w:p w14:paraId="52E1DE82">
      <w:pPr>
        <w:spacing w:after="0" w:line="360" w:lineRule="auto"/>
        <w:ind w:firstLine="562" w:firstLineChars="200"/>
        <w:jc w:val="both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1.成果案例要求</w:t>
      </w:r>
    </w:p>
    <w:p w14:paraId="01172ED1">
      <w:pPr>
        <w:spacing w:after="0" w:line="360" w:lineRule="auto"/>
        <w:ind w:firstLine="560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来稿</w:t>
      </w:r>
      <w:r>
        <w:rPr>
          <w:rFonts w:ascii="仿宋" w:hAnsi="仿宋" w:eastAsia="仿宋"/>
          <w:sz w:val="28"/>
          <w:szCs w:val="28"/>
        </w:rPr>
        <w:t>须为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本单位</w:t>
      </w:r>
      <w:r>
        <w:rPr>
          <w:rFonts w:ascii="仿宋" w:hAnsi="仿宋" w:eastAsia="仿宋"/>
          <w:sz w:val="28"/>
          <w:szCs w:val="28"/>
        </w:rPr>
        <w:t>未公开发表的原创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技术、产品或生产组织模式等</w:t>
      </w:r>
      <w:r>
        <w:rPr>
          <w:rFonts w:ascii="仿宋" w:hAnsi="仿宋" w:eastAsia="仿宋"/>
          <w:sz w:val="28"/>
          <w:szCs w:val="28"/>
        </w:rPr>
        <w:t>，紧扣“精度保持、智能自主、复合集成、国产替代”四大主线，覆盖高端数控系统与智能控制、精密/超精密制造、关键功能部件国产化、可靠性建模与评价、智能制造产线集成</w:t>
      </w:r>
      <w:r>
        <w:rPr>
          <w:rFonts w:hint="eastAsia" w:ascii="仿宋" w:hAnsi="仿宋" w:eastAsia="仿宋"/>
          <w:sz w:val="28"/>
          <w:szCs w:val="28"/>
          <w:lang w:eastAsia="zh-CN"/>
        </w:rPr>
        <w:t>、</w:t>
      </w:r>
      <w:r>
        <w:rPr>
          <w:rFonts w:ascii="仿宋" w:hAnsi="仿宋" w:eastAsia="仿宋"/>
          <w:sz w:val="28"/>
          <w:szCs w:val="28"/>
        </w:rPr>
        <w:t>先进制造与现代服务业深度融</w:t>
      </w:r>
      <w:r>
        <w:rPr>
          <w:rFonts w:ascii="仿宋" w:hAnsi="仿宋" w:eastAsia="仿宋"/>
          <w:sz w:val="28"/>
          <w:szCs w:val="28"/>
        </w:rPr>
        <w:t>等方向；优先支持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自主可控、产业升级、国产替代的优秀</w:t>
      </w:r>
      <w:r>
        <w:rPr>
          <w:rFonts w:ascii="仿宋" w:hAnsi="仿宋" w:eastAsia="仿宋"/>
          <w:sz w:val="28"/>
          <w:szCs w:val="28"/>
        </w:rPr>
        <w:t>成果。</w:t>
      </w:r>
    </w:p>
    <w:p w14:paraId="350626D7">
      <w:pPr>
        <w:numPr>
          <w:numId w:val="0"/>
        </w:numPr>
        <w:jc w:val="left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 xml:space="preserve"> 2.成果描述内容</w:t>
      </w:r>
    </w:p>
    <w:p w14:paraId="500F4139">
      <w:pPr>
        <w:spacing w:after="0" w:line="240" w:lineRule="auto"/>
        <w:ind w:firstLine="560" w:firstLineChars="200"/>
        <w:jc w:val="both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请按照以下几方面组织案例</w:t>
      </w:r>
      <w:r>
        <w:rPr>
          <w:rFonts w:hint="eastAsia" w:ascii="仿宋" w:hAnsi="仿宋" w:eastAsia="仿宋"/>
          <w:sz w:val="28"/>
          <w:szCs w:val="28"/>
        </w:rPr>
        <w:t>内容：</w:t>
      </w:r>
      <w:r>
        <w:rPr>
          <w:rFonts w:hint="eastAsia" w:ascii="仿宋" w:hAnsi="仿宋" w:eastAsia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摘要</w:t>
      </w:r>
      <w:r>
        <w:rPr>
          <w:rFonts w:hint="eastAsia" w:ascii="仿宋" w:hAnsi="仿宋" w:eastAsia="仿宋"/>
          <w:sz w:val="28"/>
          <w:szCs w:val="28"/>
          <w:lang w:eastAsia="zh-CN"/>
        </w:rPr>
        <w:t>；（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技术关键词</w:t>
      </w:r>
      <w:r>
        <w:rPr>
          <w:rFonts w:hint="eastAsia" w:ascii="仿宋" w:hAnsi="仿宋" w:eastAsia="仿宋"/>
          <w:sz w:val="28"/>
          <w:szCs w:val="28"/>
          <w:lang w:eastAsia="zh-CN"/>
        </w:rPr>
        <w:t>；（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案例正文，包括：</w:t>
      </w:r>
      <w:r>
        <w:rPr>
          <w:rFonts w:hint="eastAsia" w:ascii="仿宋" w:hAnsi="仿宋" w:eastAsia="仿宋"/>
          <w:sz w:val="28"/>
          <w:szCs w:val="28"/>
        </w:rPr>
        <w:t>案例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介绍</w:t>
      </w:r>
      <w:r>
        <w:rPr>
          <w:rFonts w:hint="eastAsia" w:ascii="仿宋" w:hAnsi="仿宋" w:eastAsia="仿宋"/>
          <w:sz w:val="28"/>
          <w:szCs w:val="28"/>
        </w:rPr>
        <w:t>（提供单位、技术研发/应用时间、所属行业）、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案例背景</w:t>
      </w:r>
      <w:r>
        <w:rPr>
          <w:rFonts w:hint="eastAsia" w:ascii="仿宋" w:hAnsi="仿宋" w:eastAsia="仿宋"/>
          <w:sz w:val="28"/>
          <w:szCs w:val="28"/>
        </w:rPr>
        <w:t>（该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案例</w:t>
      </w:r>
      <w:r>
        <w:rPr>
          <w:rFonts w:hint="eastAsia" w:ascii="仿宋" w:hAnsi="仿宋" w:eastAsia="仿宋"/>
          <w:sz w:val="28"/>
          <w:szCs w:val="28"/>
        </w:rPr>
        <w:t>在工业母机产业链中的位置、解决的核心痛点）、技术创新（机械结构、控制系统、工艺集成、数字化赋能等维度阐述核心突破，突出与传统技术的差异、关键技术参数对比）、应用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详情</w:t>
      </w:r>
      <w:r>
        <w:rPr>
          <w:rFonts w:hint="eastAsia" w:ascii="仿宋" w:hAnsi="仿宋" w:eastAsia="仿宋"/>
          <w:sz w:val="28"/>
          <w:szCs w:val="28"/>
        </w:rPr>
        <w:t>（生产效率提升、加工精度改善、成本降低等量化数据）、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成果创新性与优势</w:t>
      </w: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特色、亮点、创新性与优势</w:t>
      </w:r>
      <w:r>
        <w:rPr>
          <w:rFonts w:hint="eastAsia" w:ascii="仿宋" w:hAnsi="仿宋" w:eastAsia="仿宋"/>
          <w:sz w:val="28"/>
          <w:szCs w:val="28"/>
        </w:rPr>
        <w:t>、行业推广前景）、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应用效益分析</w:t>
      </w:r>
      <w:r>
        <w:rPr>
          <w:rFonts w:hint="eastAsia" w:ascii="仿宋" w:hAnsi="仿宋" w:eastAsia="仿宋"/>
          <w:sz w:val="28"/>
          <w:szCs w:val="28"/>
        </w:rPr>
        <w:t>（技术迭代方向、拓展应用场景、面临的挑战与应对思路）等。</w:t>
      </w:r>
    </w:p>
    <w:p w14:paraId="75D18319">
      <w:pPr>
        <w:spacing w:after="0" w:line="360" w:lineRule="auto"/>
        <w:ind w:firstLine="562" w:firstLineChars="200"/>
        <w:jc w:val="both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/>
          <w:b/>
          <w:bCs/>
          <w:sz w:val="28"/>
          <w:szCs w:val="28"/>
        </w:rPr>
        <w:t>.排版格式</w:t>
      </w:r>
    </w:p>
    <w:p w14:paraId="0A1BBAD7">
      <w:pPr>
        <w:spacing w:after="0" w:line="360" w:lineRule="auto"/>
        <w:ind w:firstLine="560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文章中英文标题、作者署名、单位署名、摘要、关键词通栏编排，正文部分内容双栏编排。</w:t>
      </w:r>
    </w:p>
    <w:p w14:paraId="76488493">
      <w:pPr>
        <w:spacing w:after="0" w:line="360" w:lineRule="auto"/>
        <w:ind w:firstLine="560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标题：2号方正小标宋简体；</w:t>
      </w:r>
    </w:p>
    <w:p w14:paraId="56A638F4">
      <w:pPr>
        <w:spacing w:after="0" w:line="360" w:lineRule="auto"/>
        <w:ind w:firstLine="560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作者署名：小4号楷体；</w:t>
      </w:r>
    </w:p>
    <w:p w14:paraId="0159D948">
      <w:pPr>
        <w:spacing w:after="0" w:line="360" w:lineRule="auto"/>
        <w:ind w:firstLine="560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单位署名：5号仿宋；</w:t>
      </w:r>
    </w:p>
    <w:p w14:paraId="387854CB">
      <w:pPr>
        <w:spacing w:after="0" w:line="360" w:lineRule="auto"/>
        <w:ind w:firstLine="560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摘要：5号黑体；摘要内容：5号楷体；</w:t>
      </w:r>
    </w:p>
    <w:p w14:paraId="64544E78">
      <w:pPr>
        <w:spacing w:after="0" w:line="360" w:lineRule="auto"/>
        <w:ind w:firstLine="560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关键词： 5号黑体；关键词内容：5号楷体；</w:t>
      </w:r>
    </w:p>
    <w:p w14:paraId="50DB5EB4">
      <w:pPr>
        <w:spacing w:after="0" w:line="360" w:lineRule="auto"/>
        <w:ind w:firstLine="560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正文一级标题：小4号黑体；二级标题：5号黑体；</w:t>
      </w:r>
    </w:p>
    <w:p w14:paraId="29B1A4C3">
      <w:pPr>
        <w:spacing w:after="0" w:line="360" w:lineRule="auto"/>
        <w:ind w:firstLine="560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参考文献：小5号书宋；</w:t>
      </w:r>
    </w:p>
    <w:p w14:paraId="13A3A0CE">
      <w:pPr>
        <w:spacing w:after="0" w:line="360" w:lineRule="auto"/>
        <w:ind w:firstLine="560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正文内容：5号书宋双栏排；</w:t>
      </w:r>
    </w:p>
    <w:p w14:paraId="684449E9">
      <w:pPr>
        <w:spacing w:after="0" w:line="360" w:lineRule="auto"/>
        <w:ind w:firstLine="560" w:firstLineChars="200"/>
        <w:jc w:val="both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表头和图号：小5号黑体字。</w:t>
      </w:r>
    </w:p>
    <w:p w14:paraId="61791395">
      <w:pPr>
        <w:spacing w:after="0" w:line="360" w:lineRule="auto"/>
        <w:ind w:firstLine="562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/>
          <w:b/>
          <w:bCs/>
          <w:sz w:val="28"/>
          <w:szCs w:val="28"/>
        </w:rPr>
        <w:t>.编辑要求</w:t>
      </w:r>
    </w:p>
    <w:p w14:paraId="4BFCCEE1">
      <w:pPr>
        <w:spacing w:after="0" w:line="360" w:lineRule="auto"/>
        <w:ind w:firstLine="562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（1）公式。</w:t>
      </w:r>
      <w:r>
        <w:rPr>
          <w:rFonts w:hint="eastAsia" w:ascii="仿宋" w:hAnsi="仿宋" w:eastAsia="仿宋"/>
          <w:sz w:val="28"/>
          <w:szCs w:val="28"/>
        </w:rPr>
        <w:t>公式均用公式编辑器处理，另起一行居中排，公式序号按顺序编排且右对齐。按公式中量符号出现的顺序，用准确、简洁的语句解释其物理意义。应注意：公式中的量符号，通常采用单个拉丁字母或希腊字母表达，必要时可加下标或说明性记号（量符号上下标不可用中文），尽量避免复合上下角标的使用，尽量少用3层关系的上下角标；尽量避免不必要的公式推导。</w:t>
      </w:r>
    </w:p>
    <w:p w14:paraId="665AD116">
      <w:pPr>
        <w:spacing w:after="0" w:line="360" w:lineRule="auto"/>
        <w:ind w:firstLine="562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（2）量和单位。</w:t>
      </w:r>
      <w:r>
        <w:rPr>
          <w:rFonts w:hint="eastAsia" w:ascii="仿宋" w:hAnsi="仿宋" w:eastAsia="仿宋"/>
          <w:sz w:val="28"/>
          <w:szCs w:val="28"/>
        </w:rPr>
        <w:t>量和单位的名称与符号应规范（见GB3100～3102-93），量符号本身用斜体，其下标除表示变量的字母用斜体外，其余均用正体，矢量、张量、矩阵符号用黑斜体。量符号第一次出现时要说明其物理含义，全文量符号的写法应统一（特别是大小写也必须一致），避免同一符号表示多种物理含义或同一物理量有不同的量符号。</w:t>
      </w:r>
    </w:p>
    <w:p w14:paraId="3381493C">
      <w:pPr>
        <w:spacing w:after="0" w:line="360" w:lineRule="auto"/>
        <w:ind w:firstLine="562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（3）图。</w:t>
      </w:r>
      <w:r>
        <w:rPr>
          <w:rFonts w:hint="eastAsia" w:ascii="仿宋" w:hAnsi="仿宋" w:eastAsia="仿宋"/>
          <w:sz w:val="28"/>
          <w:szCs w:val="28"/>
        </w:rPr>
        <w:t>务必保证文中图片的高清晰度。所有图片均要采用office中“插入—对象—选择类型—图片创建”的方式插图。本刊为黑白印刷，不要用颜色区分图上内容，可采用不同线型、不同底纹等方式进行区分。图片中的英文要翻译成中文。</w:t>
      </w:r>
    </w:p>
    <w:p w14:paraId="0854C2B0">
      <w:pPr>
        <w:spacing w:after="0" w:line="360" w:lineRule="auto"/>
        <w:ind w:firstLine="562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①所有图片都需要有中文图名，图名请尽量简单、准确。</w:t>
      </w:r>
      <w:r>
        <w:rPr>
          <w:rFonts w:hint="eastAsia" w:ascii="仿宋" w:hAnsi="仿宋" w:eastAsia="仿宋"/>
          <w:sz w:val="28"/>
          <w:szCs w:val="28"/>
        </w:rPr>
        <w:t>有分图的用（a）（b）……来区分，并且每一个分图也都需要有图名（中文图名），分图名放在各分图下方。图片需要在文字中有说明，先见文字后见图。图序按照文字先提到先编号的原则来排序，全篇文章图片顺序按照阿拉伯数字1、2、3、4……依次往后排序。</w:t>
      </w:r>
    </w:p>
    <w:p w14:paraId="1F7CD478">
      <w:pPr>
        <w:spacing w:after="0" w:line="360" w:lineRule="auto"/>
        <w:ind w:firstLine="562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②流程框图</w:t>
      </w:r>
      <w:r>
        <w:rPr>
          <w:rFonts w:hint="eastAsia" w:ascii="仿宋" w:hAnsi="仿宋" w:eastAsia="仿宋"/>
          <w:sz w:val="28"/>
          <w:szCs w:val="28"/>
        </w:rPr>
        <w:t>：采用AutoCAD中绘制的矢量框图，行高3mm,字高1.5mm，字体为方正书宋，箭头宽0.75mm，箭头长1.12mm。</w:t>
      </w:r>
    </w:p>
    <w:p w14:paraId="15D1705F">
      <w:pPr>
        <w:spacing w:after="0" w:line="360" w:lineRule="auto"/>
        <w:ind w:firstLine="562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③Origin绘制的图形</w:t>
      </w:r>
      <w:r>
        <w:rPr>
          <w:rFonts w:hint="eastAsia" w:ascii="仿宋" w:hAnsi="仿宋" w:eastAsia="仿宋"/>
          <w:sz w:val="28"/>
          <w:szCs w:val="28"/>
        </w:rPr>
        <w:t>：请将默认的.obj格式文件导出为.emf格式；零件图、装配图请用Auto CAD绘制，并保存为.dxf2000（.dwg2000）版本；MATLAB仿真结果，请将系统默认的.fig图片另存为.emf格式图片，然后插入文中。</w:t>
      </w:r>
    </w:p>
    <w:p w14:paraId="453A5736">
      <w:pPr>
        <w:spacing w:after="0" w:line="360" w:lineRule="auto"/>
        <w:ind w:firstLine="562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④二维图</w:t>
      </w:r>
      <w:r>
        <w:rPr>
          <w:rFonts w:hint="eastAsia" w:ascii="仿宋" w:hAnsi="仿宋" w:eastAsia="仿宋"/>
          <w:sz w:val="28"/>
          <w:szCs w:val="28"/>
        </w:rPr>
        <w:t>：有网格以及右上边框的请将网格及右上边框去掉。三维图：可以有网格。</w:t>
      </w:r>
    </w:p>
    <w:p w14:paraId="62C2DF19">
      <w:pPr>
        <w:spacing w:after="0" w:line="360" w:lineRule="auto"/>
        <w:ind w:firstLine="562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⑤仿真云图</w:t>
      </w:r>
      <w:r>
        <w:rPr>
          <w:rFonts w:hint="eastAsia" w:ascii="仿宋" w:hAnsi="仿宋" w:eastAsia="仿宋"/>
          <w:sz w:val="28"/>
          <w:szCs w:val="28"/>
        </w:rPr>
        <w:t>：请提供清晰图像，色标上方给出数据具体单位，用科学计数法表示的数据将默认的表达方式改为规范的表达方式，如将e-002改为×10-2。</w:t>
      </w:r>
    </w:p>
    <w:p w14:paraId="33B8C3E5">
      <w:pPr>
        <w:spacing w:after="0" w:line="360" w:lineRule="auto"/>
        <w:ind w:firstLine="562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⑥坐标图</w:t>
      </w:r>
      <w:r>
        <w:rPr>
          <w:rFonts w:hint="eastAsia" w:ascii="仿宋" w:hAnsi="仿宋" w:eastAsia="仿宋"/>
          <w:sz w:val="28"/>
          <w:szCs w:val="28"/>
        </w:rPr>
        <w:t>：坐标轴上的刻度线应内置，且每一个坐标轴的起点和终点都必须要有数据，然后坐标轴用标值线等分（除示意图，对数值大小无要求的图，坐标轴终点可用箭头表示）。坐标轴的标目，除了量纲一的量没有单位外，其他坐标轴（“量名称、量符号和单位”）应完整。</w:t>
      </w:r>
    </w:p>
    <w:p w14:paraId="7C69E0C6">
      <w:pPr>
        <w:spacing w:after="0" w:line="360" w:lineRule="auto"/>
        <w:ind w:firstLine="562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⑦作者自行设计软件的运行结果</w:t>
      </w:r>
      <w:r>
        <w:rPr>
          <w:rFonts w:hint="eastAsia" w:ascii="仿宋" w:hAnsi="仿宋" w:eastAsia="仿宋"/>
          <w:sz w:val="28"/>
          <w:szCs w:val="28"/>
        </w:rPr>
        <w:t>：请先将显示器的分辨率调到最高（普屏的分辨率请设置为1600×1200以上，宽屏的分辨率请设定为1920×1200以上），再将最大化后的软件界面截屏并保存为.tif格式的图片。</w:t>
      </w:r>
    </w:p>
    <w:p w14:paraId="478A324F">
      <w:pPr>
        <w:spacing w:after="0" w:line="360" w:lineRule="auto"/>
        <w:ind w:firstLine="562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⑧显微照</w:t>
      </w:r>
      <w:r>
        <w:rPr>
          <w:rFonts w:hint="eastAsia" w:ascii="仿宋" w:hAnsi="仿宋" w:eastAsia="仿宋"/>
          <w:sz w:val="28"/>
          <w:szCs w:val="28"/>
        </w:rPr>
        <w:t>：请在图中给出标尺。</w:t>
      </w:r>
    </w:p>
    <w:p w14:paraId="1EC14501">
      <w:pPr>
        <w:spacing w:after="0" w:line="360" w:lineRule="auto"/>
        <w:ind w:firstLine="560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*对于一些无法处理的模糊图，建议删除，用文字说明代替。图中说明性文字及坐标轴的标目用英文表示的请将英文改成中文。请妥善保留所有图的原始数据以及图形。</w:t>
      </w:r>
    </w:p>
    <w:p w14:paraId="29C6545F">
      <w:pPr>
        <w:spacing w:after="0" w:line="360" w:lineRule="auto"/>
        <w:ind w:firstLine="562" w:firstLineChars="20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（4）表格。</w:t>
      </w:r>
      <w:r>
        <w:rPr>
          <w:rFonts w:hint="eastAsia" w:ascii="仿宋" w:hAnsi="仿宋" w:eastAsia="仿宋"/>
          <w:sz w:val="28"/>
          <w:szCs w:val="28"/>
        </w:rPr>
        <w:t xml:space="preserve">表格应精选，采用三线表，要有自明性，其内容尽量避免与插图或文字表达重复；表格上方要有表序号、表名；表中同一物理量的有效数字位数应相同；全表一致的单位移到表右上角。表中的英文要翻译成中文。   </w:t>
      </w:r>
      <w:bookmarkStart w:id="0" w:name="_GoBack"/>
      <w:bookmarkEnd w:id="0"/>
      <w:r>
        <w:rPr>
          <w:rFonts w:hint="eastAsia" w:ascii="仿宋" w:hAnsi="仿宋" w:eastAsia="仿宋"/>
          <w:sz w:val="28"/>
          <w:szCs w:val="28"/>
        </w:rPr>
        <w:t xml:space="preserve">  </w:t>
      </w:r>
    </w:p>
    <w:p w14:paraId="2FABB9E7">
      <w:pPr>
        <w:spacing w:after="0" w:line="360" w:lineRule="auto"/>
        <w:ind w:firstLine="560" w:firstLineChars="200"/>
        <w:jc w:val="both"/>
        <w:rPr>
          <w:rFonts w:hint="eastAsia" w:ascii="仿宋" w:hAnsi="仿宋" w:eastAsia="仿宋"/>
          <w:sz w:val="28"/>
          <w:szCs w:val="28"/>
        </w:rPr>
      </w:pPr>
    </w:p>
    <w:p w14:paraId="301421DC">
      <w:pPr>
        <w:spacing w:after="0" w:line="360" w:lineRule="auto"/>
        <w:ind w:firstLine="560" w:firstLineChars="200"/>
        <w:jc w:val="both"/>
        <w:rPr>
          <w:rFonts w:hint="eastAsia" w:ascii="仿宋" w:hAnsi="仿宋" w:eastAsia="仿宋"/>
          <w:sz w:val="28"/>
          <w:szCs w:val="28"/>
        </w:rPr>
      </w:pPr>
    </w:p>
    <w:p w14:paraId="01FCC2E6">
      <w:pPr>
        <w:spacing w:after="0" w:line="360" w:lineRule="auto"/>
        <w:ind w:firstLine="560" w:firstLineChars="200"/>
        <w:jc w:val="both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案例</w:t>
      </w:r>
      <w:r>
        <w:rPr>
          <w:rFonts w:hint="eastAsia" w:ascii="仿宋" w:hAnsi="仿宋" w:eastAsia="仿宋"/>
          <w:sz w:val="28"/>
          <w:szCs w:val="28"/>
        </w:rPr>
        <w:t>样式可参见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以下样例：</w:t>
      </w:r>
    </w:p>
    <w:p w14:paraId="1FB09889">
      <w:pPr>
        <w:ind w:firstLine="420" w:firstLineChars="200"/>
        <w:jc w:val="center"/>
        <w:rPr>
          <w:rFonts w:ascii="Times New Roman" w:hAnsi="Times New Roman" w:eastAsia="楷体" w:cs="Times New Roman"/>
          <w:sz w:val="28"/>
          <w:szCs w:val="28"/>
        </w:rPr>
      </w:pPr>
      <w:r>
        <w:rPr>
          <w:shd w:val="clear" w:color="auto" w:fill="FFFFFF" w:themeFill="background1"/>
        </w:rPr>
        <w:drawing>
          <wp:inline distT="0" distB="0" distL="0" distR="0">
            <wp:extent cx="4891405" cy="7360285"/>
            <wp:effectExtent l="0" t="0" r="4445" b="12065"/>
            <wp:docPr id="9797266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726665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1" t="6668" r="10537" b="8780"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736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F09CA">
      <w:pPr>
        <w:ind w:firstLine="560" w:firstLineChars="200"/>
        <w:jc w:val="left"/>
        <w:rPr>
          <w:rFonts w:ascii="Times New Roman" w:hAnsi="Times New Roman" w:eastAsia="楷体" w:cs="Times New Roman"/>
          <w:szCs w:val="21"/>
        </w:rPr>
      </w:pPr>
      <w:r>
        <w:rPr>
          <w:rFonts w:hint="eastAsia" w:ascii="Times New Roman" w:hAnsi="Times New Roman" w:eastAsia="楷体" w:cs="Times New Roman"/>
          <w:sz w:val="28"/>
          <w:szCs w:val="28"/>
        </w:rPr>
        <w:t>案例描述样例参考：</w:t>
      </w:r>
      <w:r>
        <w:rPr>
          <w:rFonts w:hint="eastAsia" w:ascii="Times New Roman" w:hAnsi="Times New Roman" w:eastAsia="楷体" w:cs="Times New Roman"/>
          <w:szCs w:val="21"/>
        </w:rPr>
        <w:t>https://www.kczg.org.cn/casebase/skilldetail?id=250</w:t>
      </w:r>
    </w:p>
    <w:p w14:paraId="4249EF2A">
      <w:pPr>
        <w:jc w:val="center"/>
        <w:rPr>
          <w:rFonts w:ascii="Times New Roman" w:hAnsi="Times New Roman" w:eastAsia="黑体" w:cs="Times New Roman"/>
          <w:sz w:val="32"/>
          <w:szCs w:val="32"/>
        </w:rPr>
      </w:pPr>
      <w:r>
        <w:drawing>
          <wp:inline distT="0" distB="0" distL="0" distR="0">
            <wp:extent cx="5399405" cy="4604385"/>
            <wp:effectExtent l="6350" t="6350" r="23495" b="18415"/>
            <wp:docPr id="4410105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1057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6044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14:paraId="11737BC2">
      <w:pPr>
        <w:jc w:val="center"/>
        <w:rPr>
          <w:rFonts w:ascii="Times New Roman" w:hAnsi="Times New Roman" w:eastAsia="黑体" w:cs="Times New Roman"/>
          <w:sz w:val="32"/>
          <w:szCs w:val="32"/>
        </w:rPr>
      </w:pPr>
    </w:p>
    <w:p w14:paraId="2429A655">
      <w:pPr>
        <w:jc w:val="center"/>
        <w:rPr>
          <w:rFonts w:ascii="Times New Roman" w:hAnsi="Times New Roman" w:eastAsia="黑体" w:cs="Times New Roman"/>
          <w:sz w:val="32"/>
          <w:szCs w:val="32"/>
        </w:rPr>
      </w:pPr>
    </w:p>
    <w:p w14:paraId="5B2C21A5">
      <w:pPr>
        <w:jc w:val="center"/>
        <w:rPr>
          <w:rFonts w:ascii="Times New Roman" w:hAnsi="Times New Roman" w:eastAsia="黑体" w:cs="Times New Roman"/>
          <w:sz w:val="32"/>
          <w:szCs w:val="32"/>
        </w:rPr>
      </w:pPr>
      <w:r>
        <w:drawing>
          <wp:inline distT="0" distB="0" distL="0" distR="0">
            <wp:extent cx="5399405" cy="7473315"/>
            <wp:effectExtent l="6350" t="6350" r="23495" b="6985"/>
            <wp:docPr id="1301223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22372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736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14:paraId="4F6824D1">
      <w:pPr>
        <w:jc w:val="center"/>
        <w:rPr>
          <w:rFonts w:ascii="Times New Roman" w:hAnsi="Times New Roman" w:eastAsia="黑体" w:cs="Times New Roman"/>
          <w:sz w:val="32"/>
          <w:szCs w:val="32"/>
        </w:rPr>
      </w:pPr>
      <w:r>
        <w:drawing>
          <wp:inline distT="0" distB="0" distL="0" distR="0">
            <wp:extent cx="5399405" cy="6224270"/>
            <wp:effectExtent l="6350" t="6350" r="23495" b="17780"/>
            <wp:docPr id="17422681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6815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2244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14:paraId="1BA1983E">
      <w:pPr>
        <w:jc w:val="center"/>
        <w:rPr>
          <w:rFonts w:ascii="Times New Roman" w:hAnsi="Times New Roman" w:eastAsia="黑体" w:cs="Times New Roman"/>
          <w:sz w:val="32"/>
          <w:szCs w:val="32"/>
        </w:rPr>
      </w:pPr>
      <w:r>
        <w:drawing>
          <wp:inline distT="0" distB="0" distL="0" distR="0">
            <wp:extent cx="5399405" cy="3336925"/>
            <wp:effectExtent l="6350" t="6350" r="23495" b="9525"/>
            <wp:docPr id="1476680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808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372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14:paraId="02A4C48B">
      <w:pPr>
        <w:jc w:val="center"/>
        <w:rPr>
          <w:rFonts w:ascii="Times New Roman" w:hAnsi="Times New Roman" w:eastAsia="黑体" w:cs="Times New Roman"/>
          <w:sz w:val="28"/>
          <w:szCs w:val="28"/>
        </w:rPr>
      </w:pPr>
      <w:r>
        <w:drawing>
          <wp:inline distT="0" distB="0" distL="0" distR="0">
            <wp:extent cx="5399405" cy="5369560"/>
            <wp:effectExtent l="6350" t="6350" r="23495" b="15240"/>
            <wp:docPr id="1873712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71248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31" cy="5371092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14:paraId="0BF942C9"/>
    <w:sectPr>
      <w:pgSz w:w="11906" w:h="16838"/>
      <w:pgMar w:top="851" w:right="851" w:bottom="851" w:left="8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41E35"/>
    <w:rsid w:val="1AC33FF4"/>
    <w:rsid w:val="201C4693"/>
    <w:rsid w:val="25056D7E"/>
    <w:rsid w:val="474E7DCE"/>
    <w:rsid w:val="49BE15B4"/>
    <w:rsid w:val="731D1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51</Words>
  <Characters>102</Characters>
  <Lines>0</Lines>
  <Paragraphs>0</Paragraphs>
  <TotalTime>1</TotalTime>
  <ScaleCrop>false</ScaleCrop>
  <LinksUpToDate>false</LinksUpToDate>
  <CharactersWithSpaces>103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2026-04-28T01:35:00Z</dcterms:created>
  <dc:creator>cici</dc:creator>
  <cp:lastModifiedBy>CMES玲</cp:lastModifiedBy>
  <dcterms:modified xsi:type="dcterms:W3CDTF">2026-04-29T06:15:07Z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eyJoZGlkIjoiMjdjYTIzY2E4NmM2MWQwZGI4NGI4YWZhNWM4MTQxMjMiLCJ1c2VySWQiOiIyNjEyMTMzNDcifQ==</vt:lpwstr>
  </property>
  <property fmtid="{D5CDD505-2E9C-101B-9397-08002B2CF9AE}" pid="4" name="ICV">
    <vt:lpwstr>F4B40CE3412C48429921D40A697DB414_12</vt:lpwstr>
  </property>
</Properties>
</file>