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中国机械工程学会部门预算</w:t>
      </w: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（2022年）</w:t>
      </w: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目</w:t>
      </w:r>
      <w:r>
        <w:rPr>
          <w:color w:val="auto"/>
          <w:position w:val="0"/>
          <w:sz w:val="32"/>
          <w:szCs w:val="32"/>
          <w:rFonts w:ascii="Calibri" w:eastAsia="Calibri" w:hAnsi="Calibri" w:hint="default"/>
        </w:rPr>
        <w:t> 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录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第一部分</w:t>
      </w:r>
      <w:r>
        <w:rPr>
          <w:color w:val="auto"/>
          <w:position w:val="0"/>
          <w:sz w:val="28"/>
          <w:szCs w:val="28"/>
          <w:rFonts w:ascii="Calibri" w:eastAsia="Calibri" w:hAnsi="Calibri" w:hint="default"/>
        </w:rPr>
        <w:t> 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学会概况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一、基本情况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二、部门预算编报范围及构成情况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第二部分</w:t>
      </w:r>
      <w:r>
        <w:rPr>
          <w:color w:val="auto"/>
          <w:position w:val="0"/>
          <w:sz w:val="28"/>
          <w:szCs w:val="28"/>
          <w:rFonts w:ascii="Calibri" w:eastAsia="Calibri" w:hAnsi="Calibri" w:hint="default"/>
        </w:rPr>
        <w:t> 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2022年部门预算表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一、部门收支总表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二、部门收入总表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三、部门支出总表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四、财政拨款收支总表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五、一般公共预算支出表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六、一般公共预算基本支出表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七、政府性基金预算支出表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八、国有资本经营预算支出表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九、一般公共预算“三公”经费支出表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第三部分</w:t>
      </w:r>
      <w:r>
        <w:rPr>
          <w:color w:val="auto"/>
          <w:position w:val="0"/>
          <w:sz w:val="28"/>
          <w:szCs w:val="28"/>
          <w:rFonts w:ascii="Calibri" w:eastAsia="Calibri" w:hAnsi="Calibri" w:hint="default"/>
        </w:rPr>
        <w:t> 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2022年部门预算情况说明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第四部分</w:t>
      </w:r>
      <w:r>
        <w:rPr>
          <w:color w:val="auto"/>
          <w:position w:val="0"/>
          <w:sz w:val="28"/>
          <w:szCs w:val="28"/>
          <w:rFonts w:ascii="Calibri" w:eastAsia="Calibri" w:hAnsi="Calibri" w:hint="default"/>
        </w:rPr>
        <w:t> 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名词解释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第一部分 学会基本概况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一、基本情况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color w:val="auto"/>
          <w:position w:val="0"/>
          <w:sz w:val="20"/>
          <w:szCs w:val="20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     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 学会全国会员代表大会是学会的最高权力机构； 学会理事会及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其常务理事会是学会领导机构。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    理事会设有学术、编辑出版、会员会籍、教育培训、标准化、科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技奖励、科技咨询、国际交流、科普、展览、组织、信息和青年等 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工作委员会，协助理事会推进学会各项工作的积极开展。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    学会常设办事机构为工作总部，在理事会领导下负责处理日常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工作。工作总部设有综合管理处(人事及会员)、学术处、信息与期刊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处、科普与评价处、继续教育处、咨询处、国际联络处、展览处、规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划发展处、党群（纪检监察）处、资产财务处和焊接项目组等12 个部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门单位。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    学会设有分支机构 40 个：铸造分会、焊接分会、塑性工程分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会、生产工程分会、热处理分会、机械设计分会、机械传动分会、理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化检验分会、粉末冶金分会、无损检测分会、摩擦学分会、特种加工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分会、机械工业自动化分会、设备与维修工程分会、物流工程分会、压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力容器分会、工业炉分会、材料分会、管理工程分会、流体工程分会、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工业设计分会、失效分析分会、科技信息分会、流体传动与控制分会、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可靠性工程分会、包装与食品工程分会、环境保护与绿色制造技术分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会、机械史分会、工业工程分会、表面工程分会、成组与智能集成技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术分会、微纳制造技术分会、生物制造工程分会、再制造工程分会、增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材制造技术分会、机器人分会、游乐机械工程分会、极端制造分会、工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业大数据与智能系统分会、空间机构分会等。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 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   学会主要业务范围：学术交流、国际合作、书刊编辑、专业展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览、业务培训、咨询服务等。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二、部门预算编报范围及构成情况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    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以上工作总部及分支机构全部纳入学会2022年部门预算的编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报范围。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第二部分</w:t>
      </w:r>
      <w:r>
        <w:rPr>
          <w:color w:val="auto"/>
          <w:position w:val="0"/>
          <w:sz w:val="44"/>
          <w:szCs w:val="44"/>
          <w:rFonts w:ascii="Calibri" w:eastAsia="Calibri" w:hAnsi="Calibri" w:hint="default"/>
        </w:rPr>
        <w:t> </w:t>
      </w: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2022年部门预算表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 xml:space="preserve">   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部门公开表1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4540885"/>
            <wp:effectExtent l="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1/AppData/Roaming/JisuOffice/ETemp/10400_7159760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45415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                               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63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651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 部门公开表2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5167630"/>
            <wp:effectExtent l="0" t="0" r="254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1/AppData/Roaming/JisuOffice/ETemp/10400_7159760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51682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               部门公开表3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5189855"/>
            <wp:effectExtent l="0" t="0" r="254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1/AppData/Roaming/JisuOffice/ETemp/10400_7159760/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51904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            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部门公开表4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4969510"/>
            <wp:effectExtent l="0" t="0" r="2540" b="762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1/AppData/Roaming/JisuOffice/ETemp/10400_7159760/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49701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                                         部门公开表5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5535930"/>
            <wp:effectExtent l="0" t="0" r="254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1/AppData/Roaming/JisuOffice/ETemp/10400_7159760/imag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55365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           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部门公开表6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4512310"/>
            <wp:effectExtent l="0" t="0" r="2540" b="762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1/AppData/Roaming/JisuOffice/ETemp/10400_7159760/imag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45129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           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部门公开表7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1303020"/>
            <wp:effectExtent l="0" t="0" r="2540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1/AppData/Roaming/JisuOffice/ETemp/10400_7159760/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130365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" w:eastAsia="仿宋" w:hAnsi="仿宋" w:hint="default"/>
        </w:rPr>
        <w:t>注：学会无政府性基金预算拨款收入,也无使用政府性基金安排的支出，故本表无数据。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                                      部门公开表8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1292860"/>
            <wp:effectExtent l="0" t="0" r="2540" b="7620"/>
            <wp:docPr id="2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1/AppData/Roaming/JisuOffice/ETemp/10400_7159760/image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12934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" w:eastAsia="仿宋" w:hAnsi="仿宋" w:hint="default"/>
        </w:rPr>
        <w:t>注：学会无国有资本经营预算收入,也无使用国有资本经营预算安排的支出，故本表无数据。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" w:eastAsia="仿宋" w:hAnsi="仿宋" w:hint="default"/>
        </w:rPr>
        <w:t xml:space="preserve">                                                           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部门公开表9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9390" cy="1307465"/>
            <wp:effectExtent l="0" t="0" r="2540" b="0"/>
            <wp:docPr id="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1/AppData/Roaming/JisuOffice/ETemp/10400_7159760/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13081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" w:eastAsia="仿宋" w:hAnsi="仿宋" w:hint="default"/>
        </w:rPr>
        <w:t>注：学会无"三公"预算拨款收入,也无使用"三公"经费安排的支出，故本表无数据。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第三部分</w:t>
      </w:r>
      <w:r>
        <w:rPr>
          <w:color w:val="auto"/>
          <w:position w:val="0"/>
          <w:sz w:val="44"/>
          <w:szCs w:val="44"/>
          <w:rFonts w:ascii="Calibri" w:eastAsia="Calibri" w:hAnsi="Calibri" w:hint="default"/>
        </w:rPr>
        <w:t> </w:t>
      </w:r>
      <w:r>
        <w:rPr>
          <w:color w:val="auto"/>
          <w:position w:val="0"/>
          <w:sz w:val="44"/>
          <w:szCs w:val="44"/>
          <w:rFonts w:ascii="黑体" w:eastAsia="黑体" w:hAnsi="黑体" w:hint="default"/>
        </w:rPr>
        <w:t>2022年部门预算情况说明</w:t>
      </w: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黑体" w:eastAsia="黑体" w:hAnsi="黑体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b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黑体" w:eastAsia="黑体" w:hAnsi="黑体" w:hint="default"/>
        </w:rPr>
        <w:t>一、关于2022年部门收支总表说明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按照综合预算的原则，学会所有收入和支出均纳入部门预算管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理。收入包括：一般公共预算拨款收入、事业收入、其他收入、上年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结转等；支出包括：外交支出、社会保障和就业支出、资源勘探工业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信息等支出、住房保障支出等。学会2022年部门收支总预算7093.59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万元(说明:上年结转6520.45万元为2022年学会事业收入6280.45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万元和其他收入240万元）。</w:t>
      </w: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二、关于2022年部门收入总表的说明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2022年收入预算7093.59万元，其中上年结转6520.45万元，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占91.92；一般公共预算拨款收入573.14万元，占8.08%；（其中：上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年结转6520.45万元为2022年学会事业收入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6280.45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万元，占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88.54%；其他收入240万元，占3.38%。）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三、关于2022年部门支出总表的说明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2022年支出预算7093.59万元，其中基本支出7075.59万元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(社会保障和就业支出112.75万元,资源勘探工业信息等支出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6834.06万元,住房和保障支出128.78万元)，占99.75%；项目支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出18万元(国际组织会费支出18万元)，占0.25%。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6"/>
          <w:szCs w:val="36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四、关于2022年财政拨款收支总表的说明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学会2022年财政拨款收支总预算581.59万元。收入包括：一般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公共预算财政拨款573.14万元、上年结转8.45万元；支出包括：外交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支出18万元、社会保障和就业支出112.75万元、资源勘探工业信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息等支出322.06万元、住房保障支出128.78万元。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五、关于2022年一般公共预算支出表的说明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2022年一般公共预算当年财政拨款573.14万元，比2021年预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算执行数477.50万元增加95.64万元，主要原因为：增加了社会保障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和就业支出。本年一般公共预算支出中人员经费489.57万元、公用经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费65.57万元、项目支出18万元。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 xml:space="preserve">    项目支出中：国际焊接组织会费15万元、国际热处理组织会费1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万元、国际铸造组织会费2万元。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六、关于2022年一般公共预算基本支出情况说明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学会2022年一般公共预算基本支出573.14万元，其中：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1.人员经费489.57万元，主要包括：基本工资、津贴补贴、奖金、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伙食补助费、绩效工资、机关事业单位基本养老保险缴费、职业年金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缴费、职工基本医疗保险缴费、其他社会保障缴费、住房公积金、医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疗费、其他工资福利支出、离休费、退休费、抚恤金、生活补助、医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疗费补助、其他对个人和家庭的补助。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2.公用经费65.57万元，主要包括：办公费、印刷费、水费、电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费、邮电费、取暖费、物业管理费、差旅费、维修（护）费、租赁费、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会议费等。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 xml:space="preserve">    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黑体" w:eastAsia="黑体" w:hAnsi="黑体" w:hint="default"/>
        </w:rPr>
        <w:t xml:space="preserve">第四部分  名词解释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一、一般公共预算拨款收入：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指中央财政当年拨付的资金。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二、事业收入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：指事业单位开展专业业务活动及辅助活动所取得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的收入，主要是各行业协会收取的会费收入，所属事业单位从事咨询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服务等专业业务取得的收入等。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三、事业单位经营收入：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指事业单位在专业业务活动及其辅助活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动之外开展非独立核算经营活动取得的收入，主要是所属事业单位对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外开展经营活动取得的收入等。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四、其他收入：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指除上述“财政拨款收入”、“事业收入”、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“事业单位经营收入”等以外的收入，主要是按规定动用的售房收入、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存款利息收入等。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五、上年结转：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指以前年度尚未完成、结转到本年仍按原规定用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途继续使用的资金。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六、一般公共服务支出（类）纪检监察事务（款）派驻派出机构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指中央纪委国家监委驻国务院国资委纪检监察组开展工作的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专项业务支出。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七、一般公共服务支出（类）档案事务（款）档案馆（项）：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映国务院国资委所属档案馆支出，包括档案资料征集，档案抢救、保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护、编纂、修复、现代化管理，档案信息资源开发、提供利用，档案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馆设备购置、维护、档案陈列展览等方面的支出。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八、外交支出（类）国际组织（款）国际组织会费（项）：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我国政府批准参加国际组织，按国际组织规定缴纳的会费。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九、外交支出（类）对外合作与交流（款）其他对外合作与交流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支出（项）：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反映我委用于对外合作与交流方面的支出。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十、国防支出（类）：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反映政府用于国防方面的支出。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十一、教育支出（类）进修及培训（款）干部教育（项）：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大连高级经理学院的支出。包括机构运行、招聘师资、举办教育和培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训等方面的支出。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十二、科学技术支出（类）应用研究（款）机构运行（项）：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映国务院国资委所属科研机构的基本支出。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十三、科学技术支出（类）科技条件与服务（款）科技条件专项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反映国务院国资委所属科研机构用于完善科技条件的支出，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包括科技文献信息、网络环境支撑等科技条件专项支出等。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十四、科学技术支出（类）其他科学技术支出（款）其他科学技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术支出（项）：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反映国务院国资委所属科研机构基建等方面支出。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十五、文化旅游体育与传媒支出（类）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反映国务院国资委在文化、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旅游、文物、体育、广播电视、电影、新闻出版等方面的支出。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十六、社会保障和就业支出（类）行政事业单位养老支出（款）行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政单位离退休（项）：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反映国务院国资委所属11个离退休干部局（办）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管理的离退休人员的经费支出。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十七、社会保障和就业支出（类）行政事业单位养老支出（款）事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业单位离退休（项）：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反映国务院国资委所属事业单位离退休人员的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经费支出。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FF0000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十八、社会保障和就业支出（类）行政事业单位养老支出（款）离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退休人员管理机构（项）：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反映国务院国资委所属11个离退休干部局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（办）的经费支出。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十九、社会保障和就业支出（类）行政事业单位养老支出（款）机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关事业单位基本养老保险缴费支出（项）：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反映国务院国资委机关及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所属单位实施养老保险制度由单位缴纳的基本养老保险费支出。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二十、社会保障和就业支出（类）行政事业单位养老支出（款）机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关事业单位职业年金缴费支出（项）：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反映国务院国资委机关及所属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单位实施养老保险制度由单位缴纳的职业年金支出。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二十一、卫生健康支出（类）行政事业单位医疗（款）行政单位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医疗（项）：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反映国务院国资委所属11个离退休干部局（办）管理的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离退休干部医疗经费支出。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二十二、资源勘探工业信息等支出（类）国有资产监管（款）行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政运行（项）：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反映国务院国资委机关基本支出。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二十三、资源勘探工业信息等支出（类）国有资产监管（款）一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般行政管理事务（项）：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反映国务院国资委未单独设置项级科目的其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他项目支出。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二十四、资源勘探工业信息等支出（类）国有资产监管（款）机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关服务（项）：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反映国务院国资委所属10个机关服务中心后勤保障服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务支出。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二十五、资源勘探工业信息等支出（类）国有资产监管（款）中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央企业专项管理（项）：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反映国务院国资委用于中央企业监督管理方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二十六、资源勘探工业信息等支出（类）国有资产监管（款）其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他国有资产监管支出（项）：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反映国务院国资委其他用于国有资产监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管方面的支出。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二十七、住房保障支出（类）住房改革支出（款）住房公积金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（项）：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指按照《住房公积金管理条例》的规定，由单位及其在职职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工缴存的长期住房储金。该项政策始于上世纪九十年代中期，在全国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机关、企事业单位在职职工中普遍实施，缴存比例最低不低于5%，最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高不超过12%，缴存基数为职工本人上年工资，目前已实施约20年时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间。行政单位缴存基数包括国家统一规定的公务员职务工资、级别工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资、机关工人岗位工资和技术等级（职务）工资、年终一次性奖金、特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殊岗位津贴、艰苦边远地区津贴，规范后发放的工作性津贴、生活性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补贴等；事业单位缴存基数包括国家统一规定的岗位工资、薪级工资、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绩效工资、艰苦边远地区津贴、特殊岗位津贴等。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3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二十八、住房保障支出（类）住房改革支出（款）提租补贴（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指经国务院批准，于2000年开始针对在京中央单位公有住房租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金标准提高发放的补贴，中央在京单位按照在编职工人数和离退休人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数以及相应职级的补贴标准确定，人均月补贴90元。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二十九、住房保障支出（类）住房改革支出（款）购房补贴（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项）：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指根据《国务院关于进一步深化城镇住房制度改革加快住房建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设的通知》（国发〔1998〕23号）的规定，从1998年下半年停止实物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分房后，房价收入比超过4倍以上地区对无房和住房未达标职工发放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的住房货币化改革补贴资金。中央行政事业单位从2000年开始发放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购房补贴资金，地方行政事业单位从1999年陆续开始发放购房补贴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资金，企业根据本单位情况自行确定。在京中央单位按照《中共中央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 xml:space="preserve">办公厅 国务院办公厅转发建设部等单位〈关于完善在京中央和国家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机关住房制度的若干意见〉的通知》规定的标准执行，京外中央单位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按照所在地人民政府住房分配货币化改革的政策规定和标准执行。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三十、结转下年：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指以前年度预算安排、因客观条件发生变化无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法按原计划实施，需延迟到以后年度按原规定用途继续使用的资金。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三十一、基本支出：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指为保障机构正常运转、完成日常工作任务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而发生的人员支出和公用支出。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三十二、项目支出：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指在基本支出之外为完成特定行政任务和事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业发展目标所发生的支出。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三十三、事业单位经营支出：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指事业单位在专业业务活动及其辅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助活动之外开展非独立核算经营活动发生的支出。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三十四、对下级单位补助支出：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指对所属单位补助发生的支出。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三十五、“三公”经费支出：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纳入中央财政预决算管理的“三公”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经费，是指中央部门用财政拨款安排的因公出国（境）费、公务用车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购置及运行费和公务接待费。其中，因公出国（境）费反映单位公务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出国（境）的国际旅费、国外城市间交通费、住宿费、伙食费、培训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费、公杂费等支出；公务用车购置及运行费反映单位公务用车车辆购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置支出（含车辆购置税）及租用费、燃料费、维修费、过路过桥费、保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险费、安全奖励费用等支出；公务接待费反映单位按规定开支的各类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公务接待（含外宾接待）支出。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黑体" w:eastAsia="黑体" w:hAnsi="黑体" w:hint="default"/>
        </w:rPr>
        <w:t>三十六、机关运行经费：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为保障行政单位（包括参照公务员法管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理事业单位）运行用于购买货物和服务的各项资金，包括办公及印刷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费、邮电费、差旅费、会议费、福利费、日常维修费、专用材料及一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般设备购置费、办公用房水电费、办公用房取暖费、办公用房物业管</w:t>
      </w: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理费、公务用车运行维护费以及其他费用。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45"/>
        <w:rPr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(Web)"/>
    <w:basedOn w:val="PO1"/>
    <w:uiPriority w:val="152"/>
    <w:semiHidden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3.png"></Relationship><Relationship Id="rId8" Type="http://schemas.openxmlformats.org/officeDocument/2006/relationships/image" Target="media/image4.png"></Relationship><Relationship Id="rId9" Type="http://schemas.openxmlformats.org/officeDocument/2006/relationships/image" Target="media/image5.png"></Relationship><Relationship Id="rId10" Type="http://schemas.openxmlformats.org/officeDocument/2006/relationships/image" Target="media/image6.png"></Relationship><Relationship Id="rId11" Type="http://schemas.openxmlformats.org/officeDocument/2006/relationships/image" Target="media/image7.png"></Relationship><Relationship Id="rId12" Type="http://schemas.openxmlformats.org/officeDocument/2006/relationships/image" Target="media/image8.png"></Relationship><Relationship Id="rId13" Type="http://schemas.openxmlformats.org/officeDocument/2006/relationships/image" Target="media/image9.png"></Relationship><Relationship Id="rId14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14</Lines>
  <LinksUpToDate>false</LinksUpToDate>
  <Pages>25</Pages>
  <Paragraphs>4</Paragraphs>
  <Words>302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1</dc:creator>
  <cp:lastModifiedBy/>
  <dcterms:modified xsi:type="dcterms:W3CDTF">2022-04-22T09:39:00Z</dcterms:modified>
</cp:coreProperties>
</file>